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Attachment A — Pilot Site Register and Egress IP Ranges</w:t>
      </w:r>
    </w:p>
    <w:p>
      <w:pPr>
        <w:pStyle w:val="Subtitle"/>
      </w:pPr>
      <w:r>
        <w:t xml:space="preserve">The SC-7(4) exception record: mission need, duration and review per site; egress ranges per circuit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2026-09-01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1" w:name="Xa7bf8886459e01b4d4e8affe29a6bd401633b30"/>
    <w:p>
      <w:pPr>
        <w:pStyle w:val="Heading1"/>
      </w:pPr>
      <w:r>
        <w:t xml:space="preserve">Attachment A — Pilot Site Register and Egress IP Ranges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Template — example rows use RFC 5737 documentation addresses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example rows use</w:t>
            </w:r>
            <w:r>
              <w:t xml:space="preserve"> </w:t>
            </w:r>
            <w:r>
              <w:rPr>
                <w:rStyle w:val="VerbatimChar"/>
              </w:rPr>
              <w:t xml:space="preserve">203.0.113.0/24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198.51.100.0/24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192.0.2.0/24</w:t>
            </w:r>
            <w:r>
              <w:t xml:space="preserve">,</w:t>
            </w:r>
            <w:r>
              <w:t xml:space="preserve"> </w:t>
            </w:r>
            <w:r>
              <w:t xml:space="preserve">reserved for documentation under RFC 5737 and safe to publish.</w:t>
            </w:r>
            <w:r>
              <w:t xml:space="preserve"> </w:t>
            </w:r>
            <w:r>
              <w:rPr>
                <w:b/>
                <w:bCs/>
              </w:rPr>
              <w:t xml:space="preserve">Delete them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once real rows exist</w:t>
            </w:r>
            <w:r>
              <w:t xml:space="preserve">, so no reader has to work out which is which.</w:t>
            </w:r>
          </w:p>
          <w:p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Attaches to</w:t>
            </w:r>
          </w:p>
        </w:tc>
        <w:tc>
          <w:tcPr/>
          <w:p>
            <w:pPr>
              <w:pStyle w:val="Compact"/>
            </w:pPr>
            <w:r>
              <w:t xml:space="preserve">SC-7(4) traffic-flow exception — M365 Optimize endpoint set at branch DIA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Prepared by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[Name, title]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[n]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i/>
                <w:iCs/>
              </w:rPr>
              <w:t xml:space="preserve">[date]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Site count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[N]</w:t>
            </w:r>
            <w:r>
              <w:t xml:space="preserve"> </w:t>
            </w:r>
            <w:r>
              <w:t xml:space="preserve">sites,</w:t>
            </w:r>
            <w:r>
              <w:t xml:space="preserve"> </w:t>
            </w:r>
            <w:r>
              <w:rPr>
                <w:i/>
                <w:iCs/>
              </w:rPr>
              <w:t xml:space="preserve">[N]</w:t>
            </w:r>
            <w:r>
              <w:t xml:space="preserve"> </w:t>
            </w:r>
            <w:r>
              <w:t xml:space="preserve">circuits, approx.</w:t>
            </w:r>
            <w:r>
              <w:t xml:space="preserve"> </w:t>
            </w:r>
            <w:r>
              <w:rPr>
                <w:i/>
                <w:iCs/>
              </w:rPr>
              <w:t xml:space="preserve">[N]</w:t>
            </w:r>
            <w:r>
              <w:t xml:space="preserve"> </w:t>
            </w:r>
            <w:r>
              <w:t xml:space="preserve">users</w:t>
            </w:r>
          </w:p>
        </w:tc>
      </w:tr>
    </w:tbl>
    <w:p>
      <w:pPr>
        <w:pStyle w:val="BodyText"/>
      </w:pPr>
      <w:r>
        <w:t xml:space="preserve">The sites listed here are the entire scope of the exemption. Adding a site is a</w:t>
      </w:r>
      <w:r>
        <w:t xml:space="preserve"> </w:t>
      </w:r>
      <w:r>
        <w:t xml:space="preserve">scope change and requires return to the Authorizing Official — so this register</w:t>
      </w:r>
      <w:r>
        <w:t xml:space="preserve"> </w:t>
      </w:r>
      <w:r>
        <w:t xml:space="preserve">is a controlled document, and its version is the thing the signed memo refers</w:t>
      </w:r>
      <w:r>
        <w:t xml:space="preserve"> </w:t>
      </w:r>
      <w:r>
        <w:t xml:space="preserve">to.</w:t>
      </w:r>
    </w:p>
    <w:p>
      <w:pPr>
        <w:pStyle w:val="BodyText"/>
      </w:pPr>
      <w:r>
        <w:rPr>
          <w:b/>
          <w:bCs/>
        </w:rPr>
        <w:t xml:space="preserve">This register is the SC-7(4) exception record itself, not a supporting annex</w:t>
      </w:r>
      <w:r>
        <w:rPr>
          <w:b/>
          <w:bCs/>
        </w:rPr>
        <w:t xml:space="preserve"> </w:t>
      </w:r>
      <w:r>
        <w:rPr>
          <w:b/>
          <w:bCs/>
        </w:rPr>
        <w:t xml:space="preserve">to it.</w:t>
      </w:r>
      <w:r>
        <w:t xml:space="preserve"> </w:t>
      </w:r>
      <w:r>
        <w:t xml:space="preserve">SC-7(4) requires each exception to the traffic-flow policy to be</w:t>
      </w:r>
      <w:r>
        <w:t xml:space="preserve"> </w:t>
      </w:r>
      <w:r>
        <w:t xml:space="preserve">documented with its supporting mission need and the duration of that need, and</w:t>
      </w:r>
      <w:r>
        <w:t xml:space="preserve"> </w:t>
      </w:r>
      <w:r>
        <w:t xml:space="preserve">requires those exceptions to be reviewed on a stated cadence and removed when</w:t>
      </w:r>
      <w:r>
        <w:t xml:space="preserve"> </w:t>
      </w:r>
      <w:r>
        <w:t xml:space="preserve">the need no longer holds. Table A1 carries those fields; A2 and A3 carry the</w:t>
      </w:r>
      <w:r>
        <w:t xml:space="preserve"> </w:t>
      </w:r>
      <w:r>
        <w:t xml:space="preserve">network and readiness detail beneath them. A register that lists circuits but</w:t>
      </w:r>
      <w:r>
        <w:t xml:space="preserve"> </w:t>
      </w:r>
      <w:r>
        <w:t xml:space="preserve">records no mission need and no expiry cannot evidence the control the memo</w:t>
      </w:r>
      <w:r>
        <w:t xml:space="preserve"> </w:t>
      </w:r>
      <w:r>
        <w:t xml:space="preserve">claims.</w:t>
      </w:r>
    </w:p>
    <w:bookmarkStart w:id="12" w:name="table-a1-exception-record"/>
    <w:p>
      <w:pPr>
        <w:pStyle w:val="Heading2"/>
      </w:pPr>
      <w:r>
        <w:t xml:space="preserve">Table A1 — Exception record</w:t>
      </w:r>
    </w:p>
    <w:p>
      <w:pPr>
        <w:pStyle w:val="FirstParagraph"/>
      </w:pPr>
      <w:r>
        <w:rPr>
          <w:i/>
          <w:iCs/>
        </w:rPr>
        <w:t xml:space="preserve">Per site — the SC-7(4)(c) and (d) fields.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Site ID</w:t>
            </w:r>
          </w:p>
        </w:tc>
        <w:tc>
          <w:tcPr/>
          <w:p>
            <w:pPr>
              <w:pStyle w:val="Compact"/>
            </w:pPr>
            <w:r>
              <w:t xml:space="preserve">Supporting mission need</w:t>
            </w:r>
          </w:p>
        </w:tc>
        <w:tc>
          <w:tcPr/>
          <w:p>
            <w:pPr>
              <w:pStyle w:val="Compact"/>
            </w:pPr>
            <w:r>
              <w:t xml:space="preserve">In force from</w:t>
            </w:r>
          </w:p>
        </w:tc>
        <w:tc>
          <w:tcPr/>
          <w:p>
            <w:pPr>
              <w:pStyle w:val="Compact"/>
            </w:pPr>
            <w:r>
              <w:t xml:space="preserve">Expiry, or the condition that ends it</w:t>
            </w:r>
          </w:p>
        </w:tc>
        <w:tc>
          <w:tcPr/>
          <w:p>
            <w:pPr>
              <w:pStyle w:val="Compact"/>
            </w:pPr>
            <w:r>
              <w:t xml:space="preserve">Last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BR-001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[Mission need]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b/>
                <w:bCs/>
              </w:rPr>
              <w:t xml:space="preserve">example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 or condition]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[ID]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[Why this site needs the exemption — specific to the site, not the program]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 or condition]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[ID]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[Why this site needs the exemption — specific to the site, not the program]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 or condition]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</w:tr>
    </w:tbl>
    <w:p>
      <w:pPr>
        <w:pStyle w:val="BodyText"/>
      </w:pPr>
      <w:r>
        <w:t xml:space="preserve">One row per site, where A2 is one row per circuit: the mission need is a</w:t>
      </w:r>
      <w:r>
        <w:t xml:space="preserve"> </w:t>
      </w:r>
      <w:r>
        <w:t xml:space="preserve">property of the site, the egress range is a property of the circuit.</w:t>
      </w:r>
    </w:p>
    <w:p>
      <w:pPr>
        <w:pStyle w:val="BodyText"/>
      </w:pPr>
      <w:r>
        <w:t xml:space="preserve">Two fields are worth writing carefully.</w:t>
      </w:r>
      <w:r>
        <w:t xml:space="preserve"> </w:t>
      </w:r>
      <w:r>
        <w:rPr>
          <w:b/>
          <w:bCs/>
        </w:rPr>
        <w:t xml:space="preserve">Mission need</w:t>
      </w:r>
      <w:r>
        <w:t xml:space="preserve"> </w:t>
      </w:r>
      <w:r>
        <w:t xml:space="preserve">restated from the</w:t>
      </w:r>
      <w:r>
        <w:t xml:space="preserve"> </w:t>
      </w:r>
      <w:r>
        <w:t xml:space="preserve">program justification is not a site-level need — if the same sentence would</w:t>
      </w:r>
      <w:r>
        <w:t xml:space="preserve"> </w:t>
      </w:r>
      <w:r>
        <w:t xml:space="preserve">serve every row, none of them is answering the question.</w:t>
      </w:r>
      <w:r>
        <w:t xml:space="preserve"> </w:t>
      </w:r>
      <w:r>
        <w:rPr>
          <w:b/>
          <w:bCs/>
        </w:rPr>
        <w:t xml:space="preserve">Expiry</w:t>
      </w:r>
      <w:r>
        <w:t xml:space="preserve"> </w:t>
      </w:r>
      <w:r>
        <w:t xml:space="preserve">may be a</w:t>
      </w:r>
      <w:r>
        <w:t xml:space="preserve"> </w:t>
      </w:r>
      <w:r>
        <w:t xml:space="preserve">date or a condition (</w:t>
      </w:r>
      <w:r>
        <w:t xml:space="preserve">“until the site is migrated to the SASE fabric”</w:t>
      </w:r>
      <w:r>
        <w:t xml:space="preserve">), but it</w:t>
      </w:r>
      <w:r>
        <w:t xml:space="preserve"> </w:t>
      </w:r>
      <w:r>
        <w:t xml:space="preserve">may not be blank: an exception with no end is a permanent change to the</w:t>
      </w:r>
      <w:r>
        <w:t xml:space="preserve"> </w:t>
      </w:r>
      <w:r>
        <w:t xml:space="preserve">traffic-flow policy, which is a different decision from the one the memo asks</w:t>
      </w:r>
      <w:r>
        <w:t xml:space="preserve"> </w:t>
      </w:r>
      <w:r>
        <w:t xml:space="preserve">for.</w:t>
      </w:r>
    </w:p>
    <w:bookmarkEnd w:id="12"/>
    <w:bookmarkStart w:id="13" w:name="table-a2-scope"/>
    <w:p>
      <w:pPr>
        <w:pStyle w:val="Heading2"/>
      </w:pPr>
      <w:r>
        <w:t xml:space="preserve">Table A2 — Scope</w:t>
      </w:r>
    </w:p>
    <w:p>
      <w:pPr>
        <w:pStyle w:val="FirstParagraph"/>
      </w:pPr>
      <w:r>
        <w:rPr>
          <w:i/>
          <w:iCs/>
        </w:rPr>
        <w:t xml:space="preserve">What the exemption covers.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Site ID</w:t>
            </w:r>
          </w:p>
        </w:tc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Circuit</w:t>
            </w:r>
          </w:p>
        </w:tc>
        <w:tc>
          <w:tcPr/>
          <w:p>
            <w:pPr>
              <w:pStyle w:val="Compact"/>
            </w:pPr>
            <w:r>
              <w:t xml:space="preserve">Public egress range (post-NAT)</w:t>
            </w:r>
          </w:p>
        </w:tc>
        <w:tc>
          <w:tcPr/>
          <w:p>
            <w:pPr>
              <w:pStyle w:val="Compact"/>
            </w:pPr>
            <w:r>
              <w:t xml:space="preserve">Egress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BR-001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[City, ST]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b/>
                <w:bCs/>
              </w:rP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ISP-A primary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203.0.113.16/28</w:t>
            </w:r>
          </w:p>
        </w:tc>
        <w:tc>
          <w:tcPr/>
          <w:p>
            <w:pPr>
              <w:pStyle w:val="Compact"/>
            </w:pPr>
            <w:r>
              <w:t xml:space="preserve">Local DIA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BR-001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[City, ST]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b/>
                <w:bCs/>
              </w:rP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ISP-B secondary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198.51.100.64/28</w:t>
            </w:r>
          </w:p>
        </w:tc>
        <w:tc>
          <w:tcPr/>
          <w:p>
            <w:pPr>
              <w:pStyle w:val="Compact"/>
            </w:pPr>
            <w:r>
              <w:t xml:space="preserve">Local DIA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BR-002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[City, ST]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b/>
                <w:bCs/>
              </w:rP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ISP-A primary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192.0.2.128/28</w:t>
            </w:r>
          </w:p>
        </w:tc>
        <w:tc>
          <w:tcPr/>
          <w:p>
            <w:pPr>
              <w:pStyle w:val="Compact"/>
            </w:pPr>
            <w:r>
              <w:t xml:space="preserve">Local DIA, gateway fallback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[ID]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[Location]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[Circuit]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[a.b.c.d/nn]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[DIA / gateway]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[ID]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[Location]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[Circuit]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[a.b.c.d/nn]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[DIA / gateway]</w:t>
            </w:r>
          </w:p>
        </w:tc>
      </w:tr>
    </w:tbl>
    <w:p>
      <w:pPr>
        <w:pStyle w:val="BodyText"/>
      </w:pPr>
      <w:r>
        <w:t xml:space="preserve">One row per circuit, not per site. A site with two internet circuits occupies</w:t>
      </w:r>
      <w:r>
        <w:t xml:space="preserve"> </w:t>
      </w:r>
      <w:r>
        <w:t xml:space="preserve">two rows sharing a Site ID, because attribution and steering both operate per</w:t>
      </w:r>
      <w:r>
        <w:t xml:space="preserve"> </w:t>
      </w:r>
      <w:r>
        <w:t xml:space="preserve">circuit.</w:t>
      </w:r>
    </w:p>
    <w:bookmarkEnd w:id="13"/>
    <w:bookmarkStart w:id="14" w:name="completion-rules-for-egress-ranges"/>
    <w:p>
      <w:pPr>
        <w:pStyle w:val="Heading2"/>
      </w:pPr>
      <w:r>
        <w:t xml:space="preserve">Completion rules for egress ranges</w:t>
      </w:r>
    </w:p>
    <w:p>
      <w:pPr>
        <w:pStyle w:val="FirstParagraph"/>
      </w:pPr>
      <w:r>
        <w:rPr>
          <w:i/>
          <w:iCs/>
        </w:rPr>
        <w:t xml:space="preserve">R1–R5, referenced by the admission checklist.</w:t>
      </w:r>
    </w:p>
    <w:p>
      <w:pPr>
        <w:pStyle w:val="BodyText"/>
      </w:pPr>
      <w:r>
        <w:t xml:space="preserve">These are the errors that actually occur, in the order they occur. Each one</w:t>
      </w:r>
      <w:r>
        <w:t xml:space="preserve"> </w:t>
      </w:r>
      <w:r>
        <w:t xml:space="preserve">produces a fabric that appears configured and attributes traffic to the wrong</w:t>
      </w:r>
      <w:r>
        <w:t xml:space="preserve"> </w:t>
      </w:r>
      <w:r>
        <w:t xml:space="preserve">place.</w:t>
      </w:r>
    </w:p>
    <w:p>
      <w:pPr>
        <w:pStyle w:val="BodyText"/>
      </w:pPr>
      <w:r>
        <w:rPr>
          <w:b/>
          <w:bCs/>
        </w:rPr>
        <w:t xml:space="preserve">R1.</w:t>
      </w:r>
      <w:r>
        <w:t xml:space="preserve"> </w:t>
      </w:r>
      <w:r>
        <w:t xml:space="preserve">Record the</w:t>
      </w:r>
      <w:r>
        <w:t xml:space="preserve"> </w:t>
      </w:r>
      <w:r>
        <w:rPr>
          <w:b/>
          <w:bCs/>
        </w:rPr>
        <w:t xml:space="preserve">post-NAT public address</w:t>
      </w:r>
      <w:r>
        <w:t xml:space="preserve"> </w:t>
      </w:r>
      <w:r>
        <w:t xml:space="preserve">the branch presents to the</w:t>
      </w:r>
      <w:r>
        <w:t xml:space="preserve"> </w:t>
      </w:r>
      <w:r>
        <w:t xml:space="preserve">internet — not the WAN interface address, and not the inside pool.</w:t>
      </w:r>
      <w:r>
        <w:t xml:space="preserve"> </w:t>
      </w:r>
      <w:r>
        <w:rPr>
          <w:i/>
          <w:iCs/>
        </w:rPr>
        <w:t xml:space="preserve">The address Microsoft and your probe endpoints observe is the one that</w:t>
      </w:r>
      <w:r>
        <w:rPr>
          <w:i/>
          <w:iCs/>
        </w:rPr>
        <w:t xml:space="preserve"> </w:t>
      </w:r>
      <w:r>
        <w:rPr>
          <w:i/>
          <w:iCs/>
        </w:rPr>
        <w:t xml:space="preserve">identifies the circuit. An interface address recorded here silently</w:t>
      </w:r>
      <w:r>
        <w:rPr>
          <w:i/>
          <w:iCs/>
        </w:rPr>
        <w:t xml:space="preserve"> </w:t>
      </w:r>
      <w:r>
        <w:rPr>
          <w:i/>
          <w:iCs/>
        </w:rPr>
        <w:t xml:space="preserve">mis-attributes every measurement from that site.</w:t>
      </w:r>
    </w:p>
    <w:p>
      <w:pPr>
        <w:pStyle w:val="BodyText"/>
      </w:pPr>
      <w:r>
        <w:rPr>
          <w:b/>
          <w:bCs/>
        </w:rPr>
        <w:t xml:space="preserve">R2.</w:t>
      </w:r>
      <w:r>
        <w:t xml:space="preserve"> </w:t>
      </w:r>
      <w:r>
        <w:t xml:space="preserve">Give each circuit a</w:t>
      </w:r>
      <w:r>
        <w:t xml:space="preserve"> </w:t>
      </w:r>
      <w:r>
        <w:rPr>
          <w:b/>
          <w:bCs/>
        </w:rPr>
        <w:t xml:space="preserve">unique</w:t>
      </w:r>
      <w:r>
        <w:t xml:space="preserve"> </w:t>
      </w:r>
      <w:r>
        <w:t xml:space="preserve">range. If two circuits at a site share a</w:t>
      </w:r>
      <w:r>
        <w:t xml:space="preserve"> </w:t>
      </w:r>
      <w:r>
        <w:t xml:space="preserve">NAT pool, per-circuit attribution is not possible.</w:t>
      </w:r>
      <w:r>
        <w:t xml:space="preserve"> </w:t>
      </w:r>
      <w:r>
        <w:rPr>
          <w:i/>
          <w:iCs/>
        </w:rPr>
        <w:t xml:space="preserve">Fix the NAT design before listing the site, or accept that path comparison at</w:t>
      </w:r>
      <w:r>
        <w:rPr>
          <w:i/>
          <w:iCs/>
        </w:rPr>
        <w:t xml:space="preserve"> </w:t>
      </w:r>
      <w:r>
        <w:rPr>
          <w:i/>
          <w:iCs/>
        </w:rPr>
        <w:t xml:space="preserve">that site is meaningless and record why.</w:t>
      </w:r>
    </w:p>
    <w:p>
      <w:pPr>
        <w:pStyle w:val="BodyText"/>
      </w:pPr>
      <w:r>
        <w:rPr>
          <w:b/>
          <w:bCs/>
        </w:rPr>
        <w:t xml:space="preserve">R3.</w:t>
      </w:r>
      <w:r>
        <w:t xml:space="preserve"> </w:t>
      </w:r>
      <w:r>
        <w:t xml:space="preserve">Ranges must be</w:t>
      </w:r>
      <w:r>
        <w:t xml:space="preserve"> </w:t>
      </w:r>
      <w:r>
        <w:rPr>
          <w:b/>
          <w:bCs/>
        </w:rPr>
        <w:t xml:space="preserve">static and assigned to the agency</w:t>
      </w:r>
      <w:r>
        <w:t xml:space="preserve"> </w:t>
      </w:r>
      <w:r>
        <w:t xml:space="preserve">for the life of</w:t>
      </w:r>
      <w:r>
        <w:t xml:space="preserve"> </w:t>
      </w:r>
      <w:r>
        <w:t xml:space="preserve">the exemption. Dynamically assigned or ISP-rotated addresses do not qualify.</w:t>
      </w:r>
      <w:r>
        <w:t xml:space="preserve"> </w:t>
      </w:r>
      <w:r>
        <w:rPr>
          <w:i/>
          <w:iCs/>
        </w:rPr>
        <w:t xml:space="preserve">A changed egress address moves the site outside the approved scope without</w:t>
      </w:r>
      <w:r>
        <w:rPr>
          <w:i/>
          <w:iCs/>
        </w:rPr>
        <w:t xml:space="preserve"> </w:t>
      </w:r>
      <w:r>
        <w:rPr>
          <w:i/>
          <w:iCs/>
        </w:rPr>
        <w:t xml:space="preserve">anyone making a decision to move it.</w:t>
      </w:r>
    </w:p>
    <w:p>
      <w:pPr>
        <w:pStyle w:val="BodyText"/>
      </w:pPr>
      <w:r>
        <w:rPr>
          <w:b/>
          <w:bCs/>
        </w:rPr>
        <w:t xml:space="preserve">R4.</w:t>
      </w:r>
      <w:r>
        <w:t xml:space="preserve"> </w:t>
      </w:r>
      <w:r>
        <w:t xml:space="preserve">Verify each range</w:t>
      </w:r>
      <w:r>
        <w:t xml:space="preserve"> </w:t>
      </w:r>
      <w:r>
        <w:rPr>
          <w:b/>
          <w:bCs/>
        </w:rPr>
        <w:t xml:space="preserve">from the branch itself</w:t>
      </w:r>
      <w:r>
        <w:t xml:space="preserve"> </w:t>
      </w:r>
      <w:r>
        <w:t xml:space="preserve">before listing it, not</w:t>
      </w:r>
      <w:r>
        <w:t xml:space="preserve"> </w:t>
      </w:r>
      <w:r>
        <w:t xml:space="preserve">from documentation or the ISP order.</w:t>
      </w:r>
      <w:r>
        <w:t xml:space="preserve"> </w:t>
      </w:r>
      <w:r>
        <w:rPr>
          <w:i/>
          <w:iCs/>
        </w:rPr>
        <w:t xml:space="preserve">Recorded ranges and deployed ranges diverge over time. The site is the</w:t>
      </w:r>
      <w:r>
        <w:rPr>
          <w:i/>
          <w:iCs/>
        </w:rPr>
        <w:t xml:space="preserve"> </w:t>
      </w:r>
      <w:r>
        <w:rPr>
          <w:i/>
          <w:iCs/>
        </w:rPr>
        <w:t xml:space="preserve">authority; the record is not.</w:t>
      </w:r>
    </w:p>
    <w:p>
      <w:pPr>
        <w:pStyle w:val="BodyText"/>
      </w:pPr>
      <w:r>
        <w:rPr>
          <w:b/>
          <w:bCs/>
        </w:rPr>
        <w:t xml:space="preserve">R5.</w:t>
      </w:r>
      <w:r>
        <w:t xml:space="preserve"> </w:t>
      </w:r>
      <w:r>
        <w:t xml:space="preserve">Where IPv6 is enabled on the circuit,</w:t>
      </w:r>
      <w:r>
        <w:t xml:space="preserve"> </w:t>
      </w:r>
      <w:r>
        <w:rPr>
          <w:b/>
          <w:bCs/>
        </w:rPr>
        <w:t xml:space="preserve">list the IPv6 range too</w:t>
      </w:r>
      <w:r>
        <w:t xml:space="preserve">.</w:t>
      </w:r>
      <w:r>
        <w:t xml:space="preserve"> </w:t>
      </w:r>
      <w:r>
        <w:rPr>
          <w:i/>
          <w:iCs/>
        </w:rPr>
        <w:t xml:space="preserve">An IPv6-capable client egressing on an unlisted range is outside the recorded</w:t>
      </w:r>
      <w:r>
        <w:rPr>
          <w:i/>
          <w:iCs/>
        </w:rPr>
        <w:t xml:space="preserve"> </w:t>
      </w:r>
      <w:r>
        <w:rPr>
          <w:i/>
          <w:iCs/>
        </w:rPr>
        <w:t xml:space="preserve">scope even though the site is listed.</w:t>
      </w:r>
    </w:p>
    <w:bookmarkEnd w:id="14"/>
    <w:bookmarkStart w:id="15" w:name="table-a3-readiness"/>
    <w:p>
      <w:pPr>
        <w:pStyle w:val="Heading2"/>
      </w:pPr>
      <w:r>
        <w:t xml:space="preserve">Table A3 — Readiness</w:t>
      </w:r>
    </w:p>
    <w:p>
      <w:pPr>
        <w:pStyle w:val="FirstParagraph"/>
      </w:pPr>
      <w:r>
        <w:rPr>
          <w:i/>
          <w:iCs/>
        </w:rPr>
        <w:t xml:space="preserve">Per site, before cutover.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Site ID</w:t>
            </w:r>
          </w:p>
        </w:tc>
        <w:tc>
          <w:tcPr/>
          <w:p>
            <w:pPr>
              <w:pStyle w:val="Compact"/>
            </w:pPr>
            <w:r>
              <w:t xml:space="preserve">Router / DRAM</w:t>
            </w:r>
          </w:p>
        </w:tc>
        <w:tc>
          <w:tcPr/>
          <w:p>
            <w:pPr>
              <w:pStyle w:val="Compact"/>
            </w:pPr>
            <w:r>
              <w:t xml:space="preserve">UTD co-resident</w:t>
            </w:r>
          </w:p>
        </w:tc>
        <w:tc>
          <w:tcPr/>
          <w:p>
            <w:pPr>
              <w:pStyle w:val="Compact"/>
            </w:pPr>
            <w:r>
              <w:t xml:space="preserve">TE agent</w:t>
            </w:r>
          </w:p>
        </w:tc>
        <w:tc>
          <w:tcPr/>
          <w:p>
            <w:pPr>
              <w:pStyle w:val="Compact"/>
            </w:pPr>
            <w:r>
              <w:t xml:space="preserve">Gov instance confirmed</w:t>
            </w:r>
          </w:p>
        </w:tc>
        <w:tc>
          <w:tcPr/>
          <w:p>
            <w:pPr>
              <w:pStyle w:val="Compact"/>
            </w:pPr>
            <w:r>
              <w:t xml:space="preserve">TRv2 device signaling</w:t>
            </w:r>
          </w:p>
        </w:tc>
        <w:tc>
          <w:tcPr/>
          <w:p>
            <w:pPr>
              <w:pStyle w:val="Compact"/>
            </w:pPr>
            <w:r>
              <w:t xml:space="preserve">Baseline captured</w:t>
            </w:r>
          </w:p>
        </w:tc>
        <w:tc>
          <w:tcPr/>
          <w:p>
            <w:pPr>
              <w:pStyle w:val="Compact"/>
            </w:pPr>
            <w:r>
              <w:t xml:space="preserve">Probe verified</w:t>
            </w:r>
          </w:p>
        </w:tc>
        <w:tc>
          <w:tcPr/>
          <w:p>
            <w:pPr>
              <w:pStyle w:val="Compact"/>
            </w:pPr>
            <w:r>
              <w:t xml:space="preserve">Cutover</w:t>
            </w:r>
          </w:p>
        </w:tc>
        <w:tc>
          <w:tcPr/>
          <w:p>
            <w:pPr>
              <w:pStyle w:val="Compact"/>
            </w:pPr>
            <w:r>
              <w:t xml:space="preserve">Revert 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BR-001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[Platform]</w:t>
            </w:r>
            <w:r>
              <w:t xml:space="preserve"> </w:t>
            </w:r>
            <w:r>
              <w:t xml:space="preserve">/ 16 GB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Embedded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[team]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[ID]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[Platform]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i/>
                <w:iCs/>
              </w:rPr>
              <w:t xml:space="preserve">[n]</w:t>
            </w:r>
            <w:r>
              <w:t xml:space="preserve"> </w:t>
            </w:r>
            <w:r>
              <w:t xml:space="preserve">GB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[Y/N]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[Embedded / standalone]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[date]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[team]</w:t>
            </w:r>
          </w:p>
        </w:tc>
      </w:tr>
    </w:tbl>
    <w:p>
      <w:pPr>
        <w:pStyle w:val="BodyText"/>
      </w:pPr>
      <w:r>
        <w:t xml:space="preserve">Dates rather than ticks throughout. A tick records an intention; a date records</w:t>
      </w:r>
      <w:r>
        <w:t xml:space="preserve"> </w:t>
      </w:r>
      <w:r>
        <w:t xml:space="preserve">an event, and a reviewer can check it.</w:t>
      </w:r>
    </w:p>
    <w:p>
      <w:pPr>
        <w:pStyle w:val="BodyText"/>
      </w:pPr>
      <w:r>
        <w:rPr>
          <w:b/>
          <w:bCs/>
        </w:rPr>
        <w:t xml:space="preserve">TRv2 device signaling</w:t>
      </w:r>
      <w:r>
        <w:t xml:space="preserve"> </w:t>
      </w:r>
      <w:r>
        <w:t xml:space="preserve">is the date tenant restrictions v2 was confirmed in</w:t>
      </w:r>
      <w:r>
        <w:t xml:space="preserve"> </w:t>
      </w:r>
      <w:r>
        <w:t xml:space="preserve">force at the site</w:t>
      </w:r>
      <w:r>
        <w:t xml:space="preserve"> </w:t>
      </w:r>
      <w:r>
        <w:rPr>
          <w:i/>
          <w:iCs/>
        </w:rPr>
        <w:t xml:space="preserve">from the endpoint</w:t>
      </w:r>
      <w:r>
        <w:t xml:space="preserve"> </w:t>
      </w:r>
      <w:r>
        <w:t xml:space="preserve">rather than the proxy. Bypassing the</w:t>
      </w:r>
      <w:r>
        <w:t xml:space="preserve"> </w:t>
      </w:r>
      <w:r>
        <w:t xml:space="preserve">proxy removes the header-injection path, so unless the device-side path is</w:t>
      </w:r>
      <w:r>
        <w:t xml:space="preserve"> </w:t>
      </w:r>
      <w:r>
        <w:t xml:space="preserve">configured and verified, the site is cut over with tenant restrictions silently</w:t>
      </w:r>
      <w:r>
        <w:t xml:space="preserve"> </w:t>
      </w:r>
      <w:r>
        <w:t xml:space="preserve">unenforced. Record alongside it the device and browser population the Group</w:t>
      </w:r>
      <w:r>
        <w:t xml:space="preserve"> </w:t>
      </w:r>
      <w:r>
        <w:t xml:space="preserve">Policy path does not cover — it reaches Office applications, Universal Windows</w:t>
      </w:r>
      <w:r>
        <w:t xml:space="preserve"> </w:t>
      </w:r>
      <w:r>
        <w:t xml:space="preserve">Platform .NET applications and Microsoft Edge, and nothing else.</w:t>
      </w:r>
    </w:p>
    <w:bookmarkEnd w:id="15"/>
    <w:bookmarkStart w:id="19" w:name="admission-checklist"/>
    <w:p>
      <w:pPr>
        <w:pStyle w:val="Heading2"/>
      </w:pPr>
      <w:r>
        <w:t xml:space="preserve">Admission checklist</w:t>
      </w:r>
    </w:p>
    <w:p>
      <w:pPr>
        <w:pStyle w:val="FirstParagraph"/>
      </w:pPr>
      <w:r>
        <w:t xml:space="preserve">All of the following must be true before a site is listed in Table A2. A site</w:t>
      </w:r>
      <w:r>
        <w:t xml:space="preserve"> </w:t>
      </w:r>
      <w:r>
        <w:t xml:space="preserve">that fails any line is not ready to be in scope, and adding it later is a scope</w:t>
      </w:r>
      <w:r>
        <w:t xml:space="preserve"> </w:t>
      </w:r>
      <w:r>
        <w:t xml:space="preserve">change.</w:t>
      </w:r>
    </w:p>
    <w:p>
      <w:pPr>
        <w:pStyle w:val="Compact"/>
        <w:numPr>
          <w:ilvl w:val="0"/>
          <w:numId w:val="1001"/>
        </w:numPr>
      </w:pPr>
      <w:r>
        <w:t xml:space="preserve">Egress ranges verified</w:t>
      </w:r>
      <w:r>
        <w:t xml:space="preserve"> </w:t>
      </w:r>
      <w:r>
        <w:rPr>
          <w:b/>
          <w:bCs/>
        </w:rPr>
        <w:t xml:space="preserve">from the site</w:t>
      </w:r>
      <w:r>
        <w:t xml:space="preserve"> </w:t>
      </w:r>
      <w:r>
        <w:t xml:space="preserve">and satisfying completion rules</w:t>
      </w:r>
      <w:r>
        <w:t xml:space="preserve"> </w:t>
      </w:r>
      <w:r>
        <w:rPr>
          <w:b/>
          <w:bCs/>
        </w:rPr>
        <w:t xml:space="preserve">R1–R5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Table A1 complete for this site: a</w:t>
      </w:r>
      <w:r>
        <w:t xml:space="preserve"> </w:t>
      </w:r>
      <w:r>
        <w:rPr>
          <w:b/>
          <w:bCs/>
        </w:rPr>
        <w:t xml:space="preserve">site-specific mission need</w:t>
      </w:r>
      <w:r>
        <w:t xml:space="preserve">, a start</w:t>
      </w:r>
      <w:r>
        <w:t xml:space="preserve"> </w:t>
      </w:r>
      <w:r>
        <w:t xml:space="preserve">date, and an</w:t>
      </w:r>
      <w:r>
        <w:t xml:space="preserve"> </w:t>
      </w:r>
      <w:r>
        <w:rPr>
          <w:b/>
          <w:bCs/>
        </w:rPr>
        <w:t xml:space="preserve">expiry or ending condition</w:t>
      </w:r>
      <w:r>
        <w:t xml:space="preserve"> </w:t>
      </w:r>
      <w:r>
        <w:t xml:space="preserve">that is not blank.</w:t>
      </w:r>
    </w:p>
    <w:p>
      <w:pPr>
        <w:pStyle w:val="Compact"/>
        <w:numPr>
          <w:ilvl w:val="0"/>
          <w:numId w:val="1003"/>
        </w:numPr>
      </w:pPr>
      <w:r>
        <w:t xml:space="preserve">Endpoint feed confirmed as</w:t>
      </w:r>
      <w:r>
        <w:t xml:space="preserve"> </w:t>
      </w:r>
      <w:r>
        <w:rPr>
          <w:b/>
          <w:bCs/>
        </w:rPr>
        <w:t xml:space="preserve">Worldwide (+GCC)</w:t>
      </w:r>
      <w:r>
        <w:t xml:space="preserve"> </w:t>
      </w:r>
      <w:r>
        <w:t xml:space="preserve">— not the DoD or GCC High</w:t>
      </w:r>
      <w:r>
        <w:t xml:space="preserve"> </w:t>
      </w:r>
      <w:r>
        <w:t xml:space="preserve">instance.</w:t>
      </w:r>
    </w:p>
    <w:p>
      <w:pPr>
        <w:pStyle w:val="Compact"/>
        <w:numPr>
          <w:ilvl w:val="0"/>
          <w:numId w:val="1004"/>
        </w:numPr>
      </w:pPr>
      <w:r>
        <w:t xml:space="preserve">Probe endpoint resolves and responds</w:t>
      </w:r>
      <w:r>
        <w:t xml:space="preserve"> </w:t>
      </w:r>
      <w:r>
        <w:rPr>
          <w:b/>
          <w:bCs/>
        </w:rPr>
        <w:t xml:space="preserve">from this branch</w:t>
      </w:r>
      <w:r>
        <w:t xml:space="preserve">, not only from</w:t>
      </w:r>
      <w:r>
        <w:t xml:space="preserve"> </w:t>
      </w:r>
      <w:r>
        <w:t xml:space="preserve">the datacenter.</w:t>
      </w:r>
    </w:p>
    <w:p>
      <w:pPr>
        <w:pStyle w:val="Compact"/>
        <w:numPr>
          <w:ilvl w:val="0"/>
          <w:numId w:val="1005"/>
        </w:numPr>
      </w:pPr>
      <w:r>
        <w:t xml:space="preserve">Name resolution for Microsoft 365 occurs</w:t>
      </w:r>
      <w:r>
        <w:t xml:space="preserve"> </w:t>
      </w:r>
      <w:r>
        <w:rPr>
          <w:b/>
          <w:bCs/>
        </w:rPr>
        <w:t xml:space="preserve">local to this branch’s egress</w:t>
      </w:r>
      <w:r>
        <w:t xml:space="preserve"> </w:t>
      </w:r>
      <w:r>
        <w:t xml:space="preserve">—</w:t>
      </w:r>
      <w:r>
        <w:t xml:space="preserve"> </w:t>
      </w:r>
      <w:r>
        <w:t xml:space="preserve">no conditional forwarder returns these queries to a core resolver. Central</w:t>
      </w:r>
      <w:r>
        <w:t xml:space="preserve"> </w:t>
      </w:r>
      <w:r>
        <w:t xml:space="preserve">resolution defeats local egress silently and the probes will not report it.</w:t>
      </w:r>
    </w:p>
    <w:p>
      <w:pPr>
        <w:pStyle w:val="Compact"/>
        <w:numPr>
          <w:ilvl w:val="0"/>
          <w:numId w:val="1006"/>
        </w:numPr>
      </w:pPr>
      <w:r>
        <w:t xml:space="preserve">ThousandEyes agent registered to the</w:t>
      </w:r>
      <w:r>
        <w:t xml:space="preserve"> </w:t>
      </w:r>
      <w:r>
        <w:rPr>
          <w:b/>
          <w:bCs/>
        </w:rPr>
        <w:t xml:space="preserve">government instance</w:t>
      </w:r>
      <w:r>
        <w:t xml:space="preserve">, and absent</w:t>
      </w:r>
      <w:r>
        <w:t xml:space="preserve"> </w:t>
      </w:r>
      <w:r>
        <w:t xml:space="preserve">from the commercial console.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Tenant restrictions v2 signaled from the endpoint</w:t>
      </w:r>
      <w:r>
        <w:t xml:space="preserve"> </w:t>
      </w:r>
      <w:r>
        <w:t xml:space="preserve">and verified in</w:t>
      </w:r>
      <w:r>
        <w:t xml:space="preserve"> </w:t>
      </w:r>
      <w:r>
        <w:t xml:space="preserve">force, since the proxy path goes with the bypass — with the device and</w:t>
      </w:r>
      <w:r>
        <w:t xml:space="preserve"> </w:t>
      </w:r>
      <w:r>
        <w:t xml:space="preserve">browser population it does not cover enumerated rather than assumed empty.</w:t>
      </w:r>
    </w:p>
    <w:p>
      <w:pPr>
        <w:pStyle w:val="Compact"/>
        <w:numPr>
          <w:ilvl w:val="0"/>
          <w:numId w:val="1008"/>
        </w:numPr>
      </w:pPr>
      <w:r>
        <w:t xml:space="preserve">Pre-cutover baseline captured and retained — the one step that cannot be</w:t>
      </w:r>
      <w:r>
        <w:t xml:space="preserve"> </w:t>
      </w:r>
      <w:r>
        <w:t xml:space="preserve">recovered afterward.</w:t>
      </w:r>
    </w:p>
    <w:p>
      <w:pPr>
        <w:pStyle w:val="Compact"/>
        <w:numPr>
          <w:ilvl w:val="0"/>
          <w:numId w:val="1009"/>
        </w:numPr>
      </w:pPr>
      <w:r>
        <w:t xml:space="preserve">Branch telemetry reaching CLAW under the reporting pattern named in the</w:t>
      </w:r>
      <w:r>
        <w:t xml:space="preserve"> </w:t>
      </w:r>
      <w:r>
        <w:t xml:space="preserve">memo.</w:t>
      </w:r>
    </w:p>
    <w:p>
      <w:pPr>
        <w:pStyle w:val="Compact"/>
        <w:numPr>
          <w:ilvl w:val="0"/>
          <w:numId w:val="1010"/>
        </w:numPr>
      </w:pPr>
      <w:r>
        <w:t xml:space="preserve">Router sized for the finished architecture, including UTD if the capability</w:t>
      </w:r>
      <w:r>
        <w:t xml:space="preserve"> </w:t>
      </w:r>
      <w:r>
        <w:t xml:space="preserve">transfer places it here.</w:t>
      </w:r>
    </w:p>
    <w:p>
      <w:pPr>
        <w:pStyle w:val="Compact"/>
        <w:numPr>
          <w:ilvl w:val="0"/>
          <w:numId w:val="1011"/>
        </w:numPr>
      </w:pPr>
      <w:r>
        <w:t xml:space="preserve">Revert owner named, reachable, and able to act within one shift without an</w:t>
      </w:r>
      <w:r>
        <w:t xml:space="preserve"> </w:t>
      </w:r>
      <w:r>
        <w:t xml:space="preserve">approval cycle.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Handling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Completed, this register is a map of the agency’s branch egress: public</w:t>
            </w:r>
            <w:r>
              <w:t xml:space="preserve"> </w:t>
            </w:r>
            <w:r>
              <w:t xml:space="preserve">addresses, circuit topology, per-site user counts and which sites have reduced</w:t>
            </w:r>
            <w:r>
              <w:t xml:space="preserve"> </w:t>
            </w:r>
            <w:r>
              <w:t xml:space="preserve">inline inspection — and, with Table A1, why each one was granted it. Handle and</w:t>
            </w:r>
            <w:r>
              <w:t xml:space="preserve"> </w:t>
            </w:r>
            <w:r>
              <w:t xml:space="preserve">mark it under the agency’s own rules for network architecture information, and</w:t>
            </w:r>
            <w:r>
              <w:t xml:space="preserve"> </w:t>
            </w:r>
            <w:r>
              <w:t xml:space="preserve">check before circulating it more widely than the signature chain.</w:t>
            </w:r>
          </w:p>
          <w:p/>
        </w:tc>
      </w:tr>
    </w:tbl>
    <w:bookmarkEnd w:id="19"/>
    <w:bookmarkStart w:id="20" w:name="change-log"/>
    <w:p>
      <w:pPr>
        <w:pStyle w:val="Heading2"/>
      </w:pPr>
      <w:r>
        <w:t xml:space="preserve">Change log</w:t>
      </w:r>
    </w:p>
    <w:p>
      <w:pPr>
        <w:pStyle w:val="FirstParagraph"/>
      </w:pPr>
      <w:r>
        <w:t xml:space="preserve">Record every scope change here with its date and the AO decision that</w:t>
      </w:r>
      <w:r>
        <w:t xml:space="preserve"> </w:t>
      </w:r>
      <w:r>
        <w:t xml:space="preserve">authorized it. The register version cited in the signed memo is the</w:t>
      </w:r>
      <w:r>
        <w:t xml:space="preserve"> </w:t>
      </w:r>
      <w:r>
        <w:t xml:space="preserve">authoritative scope; a later version without a corresponding decision is a</w:t>
      </w:r>
      <w:r>
        <w:t xml:space="preserve"> </w:t>
      </w:r>
      <w:r>
        <w:t xml:space="preserve">finding, not an update.</w:t>
      </w:r>
    </w:p>
    <w:p>
      <w:pPr>
        <w:pStyle w:val="BodyText"/>
      </w:pPr>
      <w:r>
        <w:t xml:space="preserve">Record the</w:t>
      </w:r>
      <w:r>
        <w:t xml:space="preserve"> </w:t>
      </w:r>
      <w:r>
        <w:rPr>
          <w:b/>
          <w:bCs/>
        </w:rPr>
        <w:t xml:space="preserve">SC-7(4) reviews</w:t>
      </w:r>
      <w:r>
        <w:t xml:space="preserve"> </w:t>
      </w:r>
      <w:r>
        <w:t xml:space="preserve">here too, on the cadence the memo states,</w:t>
      </w:r>
      <w:r>
        <w:t xml:space="preserve"> </w:t>
      </w:r>
      <w:r>
        <w:t xml:space="preserve">including the reviews that change nothing. The control requires exceptions to</w:t>
      </w:r>
      <w:r>
        <w:t xml:space="preserve"> </w:t>
      </w:r>
      <w:r>
        <w:t xml:space="preserve">be reviewed and removed when the supporting need lapses; a register showing no</w:t>
      </w:r>
      <w:r>
        <w:t xml:space="preserve"> </w:t>
      </w:r>
      <w:r>
        <w:t xml:space="preserve">reviews evidences no reviews, whatever happened in practice.</w:t>
      </w:r>
    </w:p>
    <w:p>
      <w:pPr>
        <w:pStyle w:val="BlockText"/>
      </w:pPr>
      <w:r>
        <w:rPr>
          <w:i/>
          <w:iCs/>
        </w:rPr>
        <w:t xml:space="preserve">[v1 — date — initial scope, N sites — approved DD MMM YYYY]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A — Pilot Site Register and Egress IP Ranges</dc:title>
  <dc:creator>Michael Stratton</dc:creator>
  <cp:keywords/>
  <dcterms:created xsi:type="dcterms:W3CDTF">2026-10-19T10:11:12Z</dcterms:created>
  <dcterms:modified xsi:type="dcterms:W3CDTF">2026-10-19T10:11:12Z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inbox/M365-INR-GCC-Moderate/attachment-a-site-register.html</vt:lpwstr>
  </property>
  <property fmtid="{D5CDD505-2E9C-101B-9397-08002B2CF9AE}" pid="7" name="created-at">
    <vt:lpwstr>2026-09-14</vt:lpwstr>
  </property>
  <property fmtid="{D5CDD505-2E9C-101B-9397-08002B2CF9AE}" pid="8" name="date">
    <vt:lpwstr>2026-09-01</vt:lpwstr>
  </property>
  <property fmtid="{D5CDD505-2E9C-101B-9397-08002B2CF9AE}" pid="9" name="derived-from">
    <vt:lpwstr>NIST SP 800-53 Rev 5 SC-7(4)(c)-(d); Microsoft 365 informed network routing configuration guidance (egress IP ranges per office location); Vol I Book 05 Appendix A.4.4.</vt:lpwstr>
  </property>
  <property fmtid="{D5CDD505-2E9C-101B-9397-08002B2CF9AE}" pid="10" name="doc-type">
    <vt:lpwstr>operational-guide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draft</vt:lpwstr>
  </property>
  <property fmtid="{D5CDD505-2E9C-101B-9397-08002B2CF9AE}" pid="16" name="lifecycle_review">
    <vt:lpwstr>2027-03-14</vt:lpwstr>
  </property>
  <property fmtid="{D5CDD505-2E9C-101B-9397-08002B2CF9AE}" pid="17" name="repo-path">
    <vt:lpwstr>docs/customer-documents/operational-guides/m365-optimize-exemption/attachment-a-site-register.qmd</vt:lpwstr>
  </property>
  <property fmtid="{D5CDD505-2E9C-101B-9397-08002B2CF9AE}" pid="18" name="status">
    <vt:lpwstr>Draft</vt:lpwstr>
  </property>
  <property fmtid="{D5CDD505-2E9C-101B-9397-08002B2CF9AE}" pid="19" name="subtitle">
    <vt:lpwstr>The SC-7(4) exception record: mission need, duration and review per site; egress ranges per circuit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2026-09-14</vt:lpwstr>
  </property>
  <property fmtid="{D5CDD505-2E9C-101B-9397-08002B2CF9AE}" pid="23" name="version">
    <vt:lpwstr>1.0</vt:lpwstr>
  </property>
</Properties>
</file>