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G.6 — RADIUS / 802.1X Modernization</w:t>
      </w:r>
    </w:p>
    <w:p>
      <w:pPr>
        <w:pStyle w:val="Subtitle"/>
      </w:pPr>
      <w:r>
        <w:t xml:space="preserve">NPS-on-AD to ISE / Entra-RADIUS in the Hybrid-Cloud model</w:t>
      </w:r>
    </w:p>
    <w:p>
      <w:pPr>
        <w:pStyle w:val="Date"/>
      </w:pPr>
      <w:r>
        <w:t xml:space="preserve">2026-05-07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g.6-radius-802.1x-modernization"/>
    <w:p>
      <w:pPr>
        <w:pStyle w:val="Heading1"/>
      </w:pPr>
      <w:r>
        <w:t xml:space="preserve">G.6 — RADIUS / 802.1X Modernization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Scaffold — canonical adapter declared, customer-facing guide pending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RADIUS / NPS adapter interface is canonical at</w:t>
            </w:r>
            <w:r>
              <w:t xml:space="preserve"> </w:t>
            </w:r>
            <w:r>
              <w:t xml:space="preserve">[</w:t>
            </w:r>
            <w:r>
              <w:rPr>
                <w:rStyle w:val="VerbatimChar"/>
              </w:rPr>
              <w:t xml:space="preserve">DM_030</w:t>
            </w:r>
            <w:r>
              <w:t xml:space="preserve">].</w:t>
            </w:r>
            <w:r>
              <w:t xml:space="preserve"> </w:t>
            </w:r>
            <w:r>
              <w:t xml:space="preserve">This page is a stub that surfaces DM_030 in the customer-documents</w:t>
            </w:r>
            <w:r>
              <w:t xml:space="preserve"> </w:t>
            </w:r>
            <w:r>
              <w:t xml:space="preserve">taxonomy; the full operational guide (parallel to</w:t>
            </w:r>
            <w:r>
              <w:t xml:space="preserve"> </w:t>
            </w:r>
            <w:r>
              <w:rPr>
                <w:rStyle w:val="VerbatimChar"/>
              </w:rPr>
              <w:t xml:space="preserve">dns-modernization.qmd</w:t>
            </w:r>
            <w:r>
              <w:t xml:space="preserve">)</w:t>
            </w:r>
            <w:r>
              <w:t xml:space="preserve"> </w:t>
            </w:r>
            <w:r>
              <w:t xml:space="preserve">is pending.</w:t>
            </w:r>
          </w:p>
          <w:p/>
        </w:tc>
      </w:tr>
    </w:tbl>
    <w:bookmarkStart w:id="13" w:name="why-this-matters"/>
    <w:p>
      <w:pPr>
        <w:pStyle w:val="Heading2"/>
      </w:pPr>
      <w:r>
        <w:t xml:space="preserve">Why this matters</w:t>
      </w:r>
    </w:p>
    <w:p>
      <w:pPr>
        <w:pStyle w:val="FirstParagraph"/>
      </w:pPr>
      <w:r>
        <w:t xml:space="preserve">Windows Network Policy Server (NPS) authenticates 802.1X wired/wireless,</w:t>
      </w:r>
      <w:r>
        <w:t xml:space="preserve"> </w:t>
      </w:r>
      <w:r>
        <w:t xml:space="preserve">VPN, and dial-up connections against Active Directory groups. Every</w:t>
      </w:r>
      <w:r>
        <w:t xml:space="preserve"> </w:t>
      </w:r>
      <w:r>
        <w:t xml:space="preserve">access point, VPN concentrator, and managed switch that uses RADIUS is</w:t>
      </w:r>
      <w:r>
        <w:t xml:space="preserve"> </w:t>
      </w:r>
      <w:r>
        <w:t xml:space="preserve">an AD dependency. If NPS goes down before the replacement RADIUS is</w:t>
      </w:r>
      <w:r>
        <w:t xml:space="preserve"> </w:t>
      </w:r>
      <w:r>
        <w:t xml:space="preserve">validated, users cannot connect to the network — this is not a degraded</w:t>
      </w:r>
      <w:r>
        <w:t xml:space="preserve"> </w:t>
      </w:r>
      <w:r>
        <w:t xml:space="preserve">experience, it is a total access failure.</w:t>
      </w:r>
    </w:p>
    <w:p>
      <w:pPr>
        <w:pStyle w:val="BodyText"/>
      </w:pPr>
      <w:r>
        <w:t xml:space="preserve">DM_030 is rated</w:t>
      </w:r>
      <w:r>
        <w:t xml:space="preserve"> </w:t>
      </w:r>
      <w:r>
        <w:rPr>
          <w:b/>
          <w:bCs/>
        </w:rPr>
        <w:t xml:space="preserve">CRITICAL</w:t>
      </w:r>
      <w:r>
        <w:t xml:space="preserve"> </w:t>
      </w:r>
      <w:r>
        <w:t xml:space="preserve">in the directory-migration adapter priority</w:t>
      </w:r>
      <w:r>
        <w:t xml:space="preserve"> </w:t>
      </w:r>
      <w:r>
        <w:t xml:space="preserve">matrix for that reason; see</w:t>
      </w:r>
      <w:r>
        <w:t xml:space="preserve"> </w:t>
      </w:r>
      <w:hyperlink r:id="rId12">
        <w:r>
          <w:rPr>
            <w:rStyle w:val="Hyperlink"/>
          </w:rPr>
          <w:t xml:space="preserve">Directory Migration Adapters — RADIUS / Network Policy Server</w:t>
        </w:r>
      </w:hyperlink>
      <w:r>
        <w:t xml:space="preserve"> </w:t>
      </w:r>
      <w:r>
        <w:t xml:space="preserve">for the full risk profile and migration sequence.</w:t>
      </w:r>
    </w:p>
    <w:bookmarkEnd w:id="13"/>
    <w:bookmarkStart w:id="14" w:name="registered-implementations"/>
    <w:p>
      <w:pPr>
        <w:pStyle w:val="Heading2"/>
      </w:pPr>
      <w:r>
        <w:t xml:space="preserve">Registered implementations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43"/>
        <w:gridCol w:w="3633"/>
        <w:gridCol w:w="214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nps</w:t>
            </w:r>
          </w:p>
        </w:tc>
        <w:tc>
          <w:tcPr/>
          <w:p>
            <w:pPr>
              <w:pStyle w:val="Compact"/>
            </w:pPr>
            <w:r>
              <w:t xml:space="preserve">Migration source (Windows NPS on AD)</w:t>
            </w:r>
          </w:p>
        </w:tc>
        <w:tc>
          <w:tcPr/>
          <w:p>
            <w:pPr>
              <w:pStyle w:val="Compact"/>
            </w:pPr>
            <w:r>
              <w:t xml:space="preserve">DM_030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cisco-ise</w:t>
            </w:r>
          </w:p>
        </w:tc>
        <w:tc>
          <w:tcPr/>
          <w:p>
            <w:pPr>
              <w:pStyle w:val="Compact"/>
            </w:pPr>
            <w:r>
              <w:t xml:space="preserve">Enterprise RADIUS replacement (NAC)</w:t>
            </w:r>
          </w:p>
        </w:tc>
        <w:tc>
          <w:tcPr/>
          <w:p>
            <w:pPr>
              <w:pStyle w:val="Compact"/>
            </w:pPr>
            <w:r>
              <w:t xml:space="preserve">DM_030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aruba-clearpass</w:t>
            </w:r>
          </w:p>
        </w:tc>
        <w:tc>
          <w:tcPr/>
          <w:p>
            <w:pPr>
              <w:pStyle w:val="Compact"/>
            </w:pPr>
            <w:r>
              <w:t xml:space="preserve">Enterprise RADIUS replacement</w:t>
            </w:r>
          </w:p>
        </w:tc>
        <w:tc>
          <w:tcPr/>
          <w:p>
            <w:pPr>
              <w:pStyle w:val="Compact"/>
            </w:pPr>
            <w:r>
              <w:t xml:space="preserve">DM_030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entra-radius</w:t>
            </w:r>
          </w:p>
        </w:tc>
        <w:tc>
          <w:tcPr/>
          <w:p>
            <w:pPr>
              <w:pStyle w:val="Compact"/>
            </w:pPr>
            <w:r>
              <w:t xml:space="preserve">Cloud-native RADIUS proxy</w:t>
            </w:r>
          </w:p>
        </w:tc>
        <w:tc>
          <w:tcPr/>
          <w:p>
            <w:pPr>
              <w:pStyle w:val="Compact"/>
            </w:pPr>
            <w:r>
              <w:t xml:space="preserve">DM_030</w:t>
            </w:r>
          </w:p>
        </w:tc>
      </w:tr>
    </w:tbl>
    <w:bookmarkEnd w:id="14"/>
    <w:bookmarkStart w:id="15" w:name="related-controls"/>
    <w:p>
      <w:pPr>
        <w:pStyle w:val="Heading2"/>
      </w:pPr>
      <w:r>
        <w:t xml:space="preserve">Related controls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45"/>
        <w:gridCol w:w="617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AC-18</w:t>
            </w:r>
          </w:p>
        </w:tc>
        <w:tc>
          <w:tcPr/>
          <w:p>
            <w:pPr>
              <w:pStyle w:val="Compact"/>
            </w:pPr>
            <w:r>
              <w:t xml:space="preserve">Wireless Access (WPA3-Enterprise / 802.1X)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IA-3</w:t>
            </w:r>
          </w:p>
        </w:tc>
        <w:tc>
          <w:tcPr/>
          <w:p>
            <w:pPr>
              <w:pStyle w:val="Compact"/>
            </w:pPr>
            <w:r>
              <w:t xml:space="preserve">Device Identification and Authentication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IA-5(2)</w:t>
            </w:r>
          </w:p>
        </w:tc>
        <w:tc>
          <w:tcPr/>
          <w:p>
            <w:pPr>
              <w:pStyle w:val="Compact"/>
            </w:pPr>
            <w:r>
              <w:t xml:space="preserve">Public Key-Based Authentication (cert-issuance for 802.1X)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SC-7(5)</w:t>
            </w:r>
          </w:p>
        </w:tc>
        <w:tc>
          <w:tcPr/>
          <w:p>
            <w:pPr>
              <w:pStyle w:val="Compact"/>
            </w:pPr>
            <w:r>
              <w:t xml:space="preserve">Boundary Protection — Deny by Default</w:t>
            </w:r>
          </w:p>
        </w:tc>
      </w:tr>
    </w:tbl>
    <w:bookmarkEnd w:id="15"/>
    <w:bookmarkStart w:id="17" w:name="X42a1ae66eecca73218f3ef7c1fa8691a99be7c5"/>
    <w:p>
      <w:pPr>
        <w:pStyle w:val="Heading2"/>
      </w:pPr>
      <w:r>
        <w:t xml:space="preserve">What goes here when this scaffold is filled in</w:t>
      </w:r>
    </w:p>
    <w:p>
      <w:pPr>
        <w:pStyle w:val="FirstParagraph"/>
      </w:pPr>
      <w:r>
        <w:t xml:space="preserve">A complete G.6 guide will mirror the structure of</w:t>
      </w:r>
      <w:r>
        <w:t xml:space="preserve"> </w:t>
      </w:r>
      <w:hyperlink r:id="rId16">
        <w:r>
          <w:rPr>
            <w:rStyle w:val="Hyperlink"/>
          </w:rPr>
          <w:t xml:space="preserve">G.3 DNS Modernization</w:t>
        </w:r>
      </w:hyperlink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Landscape decomposition</w:t>
      </w:r>
      <w:r>
        <w:t xml:space="preserve"> </w:t>
      </w:r>
      <w:r>
        <w:t xml:space="preserve">— current NPS policies, RADIUS clients</w:t>
      </w:r>
      <w:r>
        <w:t xml:space="preserve"> </w:t>
      </w:r>
      <w:r>
        <w:t xml:space="preserve">(APs, VPN concentrators, switches), AD-group dependencies, EAP-method</w:t>
      </w:r>
      <w:r>
        <w:t xml:space="preserve"> </w:t>
      </w:r>
      <w:r>
        <w:t xml:space="preserve">inventory.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Target architecture</w:t>
      </w:r>
      <w:r>
        <w:t xml:space="preserve"> </w:t>
      </w:r>
      <w:r>
        <w:t xml:space="preserve">— which workloads land on Cisco ISE, which</w:t>
      </w:r>
      <w:r>
        <w:t xml:space="preserve"> </w:t>
      </w:r>
      <w:r>
        <w:t xml:space="preserve">land on Entra RADIUS Proxy, which retire to Conditional Access /</w:t>
      </w:r>
      <w:r>
        <w:t xml:space="preserve"> </w:t>
      </w:r>
      <w:r>
        <w:t xml:space="preserve">ZTNA.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Migration sequence</w:t>
      </w:r>
      <w:r>
        <w:t xml:space="preserve"> </w:t>
      </w:r>
      <w:r>
        <w:t xml:space="preserve">— parallel-run validation, cutover order,</w:t>
      </w:r>
      <w:r>
        <w:t xml:space="preserve"> </w:t>
      </w:r>
      <w:r>
        <w:t xml:space="preserve">30-day decommission window for NPS.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Validation evidence</w:t>
      </w:r>
      <w:r>
        <w:t xml:space="preserve"> </w:t>
      </w:r>
      <w:r>
        <w:t xml:space="preserve">— RADIUS-trust update for SCEP-issued device</w:t>
      </w:r>
      <w:r>
        <w:t xml:space="preserve"> </w:t>
      </w:r>
      <w:r>
        <w:t xml:space="preserve">certificates (see IA-5(2)), 802.1X auth-success rates by EAP method,</w:t>
      </w:r>
      <w:r>
        <w:t xml:space="preserve"> </w:t>
      </w:r>
      <w:r>
        <w:t xml:space="preserve">AAA-source attestation.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Rollback</w:t>
      </w:r>
      <w:r>
        <w:t xml:space="preserve"> </w:t>
      </w:r>
      <w:r>
        <w:t xml:space="preserve">— conditions for restoring NPS, and how to do so</w:t>
      </w:r>
      <w:r>
        <w:t xml:space="preserve"> </w:t>
      </w:r>
      <w:r>
        <w:t xml:space="preserve">without re-introducing the AD dependency.</w:t>
      </w:r>
    </w:p>
    <w:bookmarkEnd w:id="17"/>
    <w:bookmarkStart w:id="19" w:name="see-also"/>
    <w:p>
      <w:pPr>
        <w:pStyle w:val="Heading2"/>
      </w:pPr>
      <w:r>
        <w:t xml:space="preserve">See also</w:t>
      </w:r>
    </w:p>
    <w:p>
      <w:pPr>
        <w:pStyle w:val="Compact"/>
        <w:numPr>
          <w:ilvl w:val="0"/>
          <w:numId w:val="1002"/>
        </w:numPr>
      </w:pPr>
      <w:r>
        <w:t xml:space="preserve">[DM_030 RADIUS / NPS Adapter Interface]</w:t>
      </w:r>
      <w:r>
        <w:t xml:space="preserve"> </w:t>
      </w:r>
      <w:r>
        <w:t xml:space="preserve">— canonical adapter spec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Directory Migration Adapters — RADIUS</w:t>
        </w:r>
      </w:hyperlink>
      <w:r>
        <w:t xml:space="preserve"> </w:t>
      </w:r>
      <w:r>
        <w:t xml:space="preserve">— narrative view with priority matrix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G. Network Transformation — index</w:t>
        </w:r>
      </w:hyperlink>
      <w:r>
        <w:t xml:space="preserve"> </w:t>
      </w:r>
      <w:r>
        <w:t xml:space="preserve">— sibling leaves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reference-architecture/adapters.md#radius" TargetMode="External" /><Relationship Type="http://schemas.openxmlformats.org/officeDocument/2006/relationships/hyperlink" Id="rId16" Target="dns-modernization.md" TargetMode="External" /><Relationship Type="http://schemas.openxmlformats.org/officeDocument/2006/relationships/hyperlink" Id="rId18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reference-architecture/adapters.md#radius" TargetMode="External" /><Relationship Type="http://schemas.openxmlformats.org/officeDocument/2006/relationships/hyperlink" Id="rId16" Target="dns-modernization.md" TargetMode="External" /><Relationship Type="http://schemas.openxmlformats.org/officeDocument/2006/relationships/hyperlink" Id="rId18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G.6 — RADIUS / 802.1X Modernization</dc:title>
  <dc:creator/>
  <cp:keywords/>
  <dcterms:created xsi:type="dcterms:W3CDTF">2026-10-19T10:11:15Z</dcterms:created>
  <dcterms:modified xsi:type="dcterms:W3CDTF">2026-10-19T10:11:15Z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canon-source">
    <vt:lpwstr>src/fmp/modernization/directory-migration/adapters/radius/radius-adapter-interface.md</vt:lpwstr>
  </property>
  <property fmtid="{D5CDD505-2E9C-101B-9397-08002B2CF9AE}" pid="5" name="date">
    <vt:lpwstr>2026-05-07</vt:lpwstr>
  </property>
  <property fmtid="{D5CDD505-2E9C-101B-9397-08002B2CF9AE}" pid="6" name="doc-type">
    <vt:lpwstr>subcategory-leaf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eaf">
    <vt:lpwstr>G.6</vt:lpwstr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pillar">
    <vt:lpwstr>modernization</vt:lpwstr>
  </property>
  <property fmtid="{D5CDD505-2E9C-101B-9397-08002B2CF9AE}" pid="15" name="repo-path">
    <vt:lpwstr>docs/customer-documents/operational-guides/network-transformation/radius-802-1x-modernization.qmd</vt:lpwstr>
  </property>
  <property fmtid="{D5CDD505-2E9C-101B-9397-08002B2CF9AE}" pid="16" name="status">
    <vt:lpwstr>scaffold</vt:lpwstr>
  </property>
  <property fmtid="{D5CDD505-2E9C-101B-9397-08002B2CF9AE}" pid="17" name="sub-category">
    <vt:lpwstr>G</vt:lpwstr>
  </property>
  <property fmtid="{D5CDD505-2E9C-101B-9397-08002B2CF9AE}" pid="18" name="subtitle">
    <vt:lpwstr>NPS-on-AD to ISE / Entra-RADIUS in the Hybrid-Cloud model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</Properties>
</file>