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  <Override PartName="/word/media/rId24.png" ContentType="image/png"/>
  <Override PartName="/word/media/rId14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 Microsoft Entra ID — Identity Telemetry Emission</w:t>
      </w:r>
    </w:p>
    <w:p>
      <w:pPr>
        <w:pStyle w:val="Subtitle"/>
      </w:pPr>
      <w:r>
        <w:t xml:space="preserve">Portal click-path, tenant-scope ARM/Bicep, and az rest for Entra diagnostic settings; Microsoft Graph auditLogs for targeted evidence pulls</w:t>
      </w:r>
    </w:p>
    <w:p>
      <w:pPr>
        <w:pStyle w:val="Author"/>
      </w:pPr>
      <w:r>
        <w:t xml:space="preserve">Michael Stratton</w:t>
      </w:r>
    </w:p>
    <w:p>
      <w:pPr>
        <w:pStyle w:val="Date"/>
      </w:pPr>
      <w:r>
        <w:t xml:space="preserve">2026-08-01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55" w:name="X569f0041b1f03611ae2d5f1d2464286a730d3c8"/>
    <w:p>
      <w:pPr>
        <w:pStyle w:val="Heading1"/>
      </w:pPr>
      <w:r>
        <w:t xml:space="preserve">Microsoft Entra ID — Identity Telemetry Emission</w:t>
      </w:r>
    </w:p>
    <w:bookmarkStart w:id="11" w:name="prerequisites"/>
    <w:p>
      <w:pPr>
        <w:pStyle w:val="Heading2"/>
      </w:pPr>
      <w:r>
        <w:t xml:space="preserve">Prerequisites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Requirement</w:t>
            </w:r>
          </w:p>
        </w:tc>
        <w:tc>
          <w:tcPr/>
          <w:p>
            <w:pPr>
              <w:pStyle w:val="Compact"/>
            </w:pPr>
            <w:r>
              <w:t xml:space="preserve">Detail</w:t>
            </w:r>
          </w:p>
        </w:tc>
      </w:tr>
      <w:tr>
        <w:tc>
          <w:tcPr/>
          <w:p>
            <w:pPr>
              <w:pStyle w:val="Compact"/>
            </w:pPr>
            <w:r>
              <w:t xml:space="preserve">Role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Security Administrator</w:t>
            </w:r>
            <w:r>
              <w:t xml:space="preserve"> </w:t>
            </w:r>
            <w:r>
              <w:t xml:space="preserve">on the Entra tenant — required to create or edit any diagnostic setting (</w:t>
            </w:r>
            <w:hyperlink r:id="rId9">
              <w:r>
                <w:rPr>
                  <w:rStyle w:val="Hyperlink"/>
                </w:rPr>
                <w:t xml:space="preserve">log options reference</w:t>
              </w:r>
            </w:hyperlink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Additional role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Attribute Log Administrator</w:t>
            </w:r>
            <w:r>
              <w:t xml:space="preserve"> </w:t>
            </w:r>
            <w:r>
              <w:rPr>
                <w:i/>
                <w:iCs/>
              </w:rPr>
              <w:t xml:space="preserve">plus</w:t>
            </w:r>
            <w:r>
              <w:t xml:space="preserve"> </w:t>
            </w:r>
            <w:r>
              <w:t xml:space="preserve">Security Administrator, if routing</w:t>
            </w:r>
            <w:r>
              <w:t xml:space="preserve"> </w:t>
            </w:r>
            <w:r>
              <w:rPr>
                <w:rStyle w:val="VerbatimChar"/>
              </w:rPr>
              <w:t xml:space="preserve">CustomSecurityAttributeAuditLogs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Destination</w:t>
            </w:r>
          </w:p>
        </w:tc>
        <w:tc>
          <w:tcPr/>
          <w:p>
            <w:pPr>
              <w:pStyle w:val="Compact"/>
            </w:pPr>
            <w:r>
              <w:t xml:space="preserve">Log Analytics workspace, Event Hubs namespace, or storage account —</w:t>
            </w:r>
            <w:r>
              <w:t xml:space="preserve"> </w:t>
            </w:r>
            <w:r>
              <w:rPr>
                <w:b/>
                <w:bCs/>
              </w:rPr>
              <w:t xml:space="preserve">must exist before</w:t>
            </w:r>
            <w:r>
              <w:t xml:space="preserve"> </w:t>
            </w:r>
            <w:r>
              <w:t xml:space="preserve">the diagnostic setting is created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License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MicrosoftGraphActivityLogs</w:t>
            </w:r>
            <w:r>
              <w:t xml:space="preserve"> </w:t>
            </w:r>
            <w:r>
              <w:t xml:space="preserve">requires Entra ID</w:t>
            </w:r>
            <w:r>
              <w:t xml:space="preserve"> </w:t>
            </w:r>
            <w:r>
              <w:rPr>
                <w:b/>
                <w:bCs/>
              </w:rPr>
              <w:t xml:space="preserve">P1 or P2</w:t>
            </w:r>
            <w:r>
              <w:t xml:space="preserve"> </w:t>
            </w:r>
            <w:r>
              <w:t xml:space="preserve">(</w:t>
            </w:r>
            <w:hyperlink r:id="rId10">
              <w:r>
                <w:rPr>
                  <w:rStyle w:val="Hyperlink"/>
                </w:rPr>
                <w:t xml:space="preserve">data retention</w:t>
              </w:r>
            </w:hyperlink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Tenancy</w:t>
            </w:r>
          </w:p>
        </w:tc>
        <w:tc>
          <w:tcPr/>
          <w:p>
            <w:pPr>
              <w:pStyle w:val="Compact"/>
            </w:pPr>
            <w:r>
              <w:t xml:space="preserve">The subscription and Event Hubs namespace must be associated with the same Entra tenant whose logs you are streaming</w:t>
            </w:r>
          </w:p>
        </w:tc>
      </w:tr>
    </w:tbl>
    <w:bookmarkEnd w:id="11"/>
    <w:bookmarkStart w:id="21" w:name="the-log-categories"/>
    <w:p>
      <w:pPr>
        <w:pStyle w:val="Heading2"/>
      </w:pPr>
      <w:r>
        <w:t xml:space="preserve">The log categories</w:t>
      </w:r>
    </w:p>
    <w:p>
      <w:pPr>
        <w:pStyle w:val="FirstParagraph"/>
      </w:pPr>
      <w:r>
        <w:t xml:space="preserve">These are every category Entra diagnostic settings can route, with the</w:t>
      </w:r>
      <w:r>
        <w:t xml:space="preserve"> </w:t>
      </w:r>
      <w:r>
        <w:t xml:space="preserve">Log Analytics table each lands in. Categories marked</w:t>
      </w:r>
      <w:r>
        <w:t xml:space="preserve"> </w:t>
      </w:r>
      <w:r>
        <w:rPr>
          <w:b/>
          <w:bCs/>
        </w:rPr>
        <w:t xml:space="preserve">Core</w:t>
      </w:r>
      <w:r>
        <w:t xml:space="preserve"> </w:t>
      </w:r>
      <w:r>
        <w:t xml:space="preserve">carry the</w:t>
      </w:r>
      <w:r>
        <w:t xml:space="preserve"> </w:t>
      </w:r>
      <w:r>
        <w:t xml:space="preserve">AU-2 / AU-3 / AU-12 evidence stream and should be enabled in every federal</w:t>
      </w:r>
      <w:r>
        <w:t xml:space="preserve"> </w:t>
      </w:r>
      <w:r>
        <w:t xml:space="preserve">tenant regardless of feature adoption.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Category</w:t>
            </w:r>
          </w:p>
        </w:tc>
        <w:tc>
          <w:tcPr/>
          <w:p>
            <w:pPr>
              <w:pStyle w:val="Compact"/>
            </w:pPr>
            <w:r>
              <w:t xml:space="preserve">Log Analytics table</w:t>
            </w:r>
          </w:p>
        </w:tc>
        <w:tc>
          <w:tcPr/>
          <w:p>
            <w:pPr>
              <w:pStyle w:val="Compact"/>
            </w:pPr>
            <w:r>
              <w:t xml:space="preserve">Tier</w:t>
            </w:r>
          </w:p>
        </w:tc>
        <w:tc>
          <w:tcPr/>
          <w:p>
            <w:pPr>
              <w:pStyle w:val="Compact"/>
            </w:pPr>
            <w:r>
              <w:t xml:space="preserve">What it captures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AuditLogs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AuditLogs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Core</w:t>
            </w:r>
          </w:p>
        </w:tc>
        <w:tc>
          <w:tcPr/>
          <w:p>
            <w:pPr>
              <w:pStyle w:val="Compact"/>
            </w:pPr>
            <w:r>
              <w:t xml:space="preserve">Directory changes — users, groups, apps, licenses, roles, policy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SignInLogs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SigninLogs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Core</w:t>
            </w:r>
          </w:p>
        </w:tc>
        <w:tc>
          <w:tcPr/>
          <w:p>
            <w:pPr>
              <w:pStyle w:val="Compact"/>
            </w:pPr>
            <w:r>
              <w:t xml:space="preserve">Interactive user sign-ins (username/password, MFA challenge)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NonInteractiveUserSignInLogs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AADNonInteractiveUserSignInLogs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Core</w:t>
            </w:r>
          </w:p>
        </w:tc>
        <w:tc>
          <w:tcPr/>
          <w:p>
            <w:pPr>
              <w:pStyle w:val="Compact"/>
            </w:pPr>
            <w:r>
              <w:t xml:space="preserve">Sign-ins on behalf of a user by a client app using a token or code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ServicePrincipalSignInLogs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AADServicePrincipalSignInLogs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Core</w:t>
            </w:r>
          </w:p>
        </w:tc>
        <w:tc>
          <w:tcPr/>
          <w:p>
            <w:pPr>
              <w:pStyle w:val="Compact"/>
            </w:pPr>
            <w:r>
              <w:t xml:space="preserve">App / service-principal authentication via certificate or client secret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ManagedIdentitySignInLogs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AADManagedIdentitySignInLogs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Core</w:t>
            </w:r>
          </w:p>
        </w:tc>
        <w:tc>
          <w:tcPr/>
          <w:p>
            <w:pPr>
              <w:pStyle w:val="Compact"/>
            </w:pPr>
            <w:r>
              <w:t xml:space="preserve">Managed-identity authentication where Azure holds the secret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ProvisioningLogs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AADProvisioningLogs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Core</w:t>
            </w:r>
          </w:p>
        </w:tc>
        <w:tc>
          <w:tcPr/>
          <w:p>
            <w:pPr>
              <w:pStyle w:val="Compact"/>
            </w:pPr>
            <w:r>
              <w:t xml:space="preserve">Users, groups, roles provisioned by the Entra provisioning service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MicrosoftGraphActivityLogs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MicrosoftGraphActivityLogs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Core</w:t>
            </w:r>
          </w:p>
        </w:tc>
        <w:tc>
          <w:tcPr/>
          <w:p>
            <w:pPr>
              <w:pStyle w:val="Compact"/>
            </w:pPr>
            <w:r>
              <w:t xml:space="preserve">Every HTTP request against tenant resources through the Graph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RiskyUsers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AADRiskyUsers</w:t>
            </w:r>
          </w:p>
        </w:tc>
        <w:tc>
          <w:tcPr/>
          <w:p>
            <w:pPr>
              <w:pStyle w:val="Compact"/>
            </w:pPr>
            <w:r>
              <w:t xml:space="preserve">High value</w:t>
            </w:r>
          </w:p>
        </w:tc>
        <w:tc>
          <w:tcPr/>
          <w:p>
            <w:pPr>
              <w:pStyle w:val="Compact"/>
            </w:pPr>
            <w:r>
              <w:t xml:space="preserve">ID Protection — users assessed as at risk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UserRiskEvents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AADUserRiskEvents</w:t>
            </w:r>
          </w:p>
        </w:tc>
        <w:tc>
          <w:tcPr/>
          <w:p>
            <w:pPr>
              <w:pStyle w:val="Compact"/>
            </w:pPr>
            <w:r>
              <w:t xml:space="preserve">High value</w:t>
            </w:r>
          </w:p>
        </w:tc>
        <w:tc>
          <w:tcPr/>
          <w:p>
            <w:pPr>
              <w:pStyle w:val="Compact"/>
            </w:pPr>
            <w:r>
              <w:t xml:space="preserve">ID Protection — individual risk detections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RiskyServicePrincipals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AADRiskyServicePrincipals</w:t>
            </w:r>
          </w:p>
        </w:tc>
        <w:tc>
          <w:tcPr/>
          <w:p>
            <w:pPr>
              <w:pStyle w:val="Compact"/>
            </w:pPr>
            <w:r>
              <w:t xml:space="preserve">High value</w:t>
            </w:r>
          </w:p>
        </w:tc>
        <w:tc>
          <w:tcPr/>
          <w:p>
            <w:pPr>
              <w:pStyle w:val="Compact"/>
            </w:pPr>
            <w:r>
              <w:t xml:space="preserve">ID Protection — risky workload identities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ServicePrincipalRiskEvents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AADServicePrincipalRiskEvents</w:t>
            </w:r>
          </w:p>
        </w:tc>
        <w:tc>
          <w:tcPr/>
          <w:p>
            <w:pPr>
              <w:pStyle w:val="Compact"/>
            </w:pPr>
            <w:r>
              <w:t xml:space="preserve">High value</w:t>
            </w:r>
          </w:p>
        </w:tc>
        <w:tc>
          <w:tcPr/>
          <w:p>
            <w:pPr>
              <w:pStyle w:val="Compact"/>
            </w:pPr>
            <w:r>
              <w:t xml:space="preserve">ID Protection — workload-identity risk detections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ADFSSignInLogs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ADFSSignInLogs</w:t>
            </w:r>
          </w:p>
        </w:tc>
        <w:tc>
          <w:tcPr/>
          <w:p>
            <w:pPr>
              <w:pStyle w:val="Compact"/>
            </w:pPr>
            <w:r>
              <w:t xml:space="preserve">Conditional</w:t>
            </w:r>
          </w:p>
        </w:tc>
        <w:tc>
          <w:tcPr/>
          <w:p>
            <w:pPr>
              <w:pStyle w:val="Compact"/>
            </w:pPr>
            <w:r>
              <w:t xml:space="preserve">AD FS application sign-in activity — required while federation persists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CustomSecurityAttributeAuditLogs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CustomSecurityAttributeAuditLogs</w:t>
            </w:r>
          </w:p>
        </w:tc>
        <w:tc>
          <w:tcPr/>
          <w:p>
            <w:pPr>
              <w:pStyle w:val="Compact"/>
            </w:pPr>
            <w:r>
              <w:t xml:space="preserve">Conditional</w:t>
            </w:r>
          </w:p>
        </w:tc>
        <w:tc>
          <w:tcPr/>
          <w:p>
            <w:pPr>
              <w:pStyle w:val="Compact"/>
            </w:pPr>
            <w:r>
              <w:t xml:space="preserve">Changes to custom security attributes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RiskyAgents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RiskyAgents</w:t>
            </w:r>
          </w:p>
        </w:tc>
        <w:tc>
          <w:tcPr/>
          <w:p>
            <w:pPr>
              <w:pStyle w:val="Compact"/>
            </w:pPr>
            <w:r>
              <w:t xml:space="preserve">Conditional</w:t>
            </w:r>
          </w:p>
        </w:tc>
        <w:tc>
          <w:tcPr/>
          <w:p>
            <w:pPr>
              <w:pStyle w:val="Compact"/>
            </w:pPr>
            <w:r>
              <w:t xml:space="preserve">ID Protection — agent identities assessed as risky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AgentRiskEvents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AgentRiskEvents</w:t>
            </w:r>
          </w:p>
        </w:tc>
        <w:tc>
          <w:tcPr/>
          <w:p>
            <w:pPr>
              <w:pStyle w:val="Compact"/>
            </w:pPr>
            <w:r>
              <w:t xml:space="preserve">Conditional</w:t>
            </w:r>
          </w:p>
        </w:tc>
        <w:tc>
          <w:tcPr/>
          <w:p>
            <w:pPr>
              <w:pStyle w:val="Compact"/>
            </w:pPr>
            <w:r>
              <w:t xml:space="preserve">ID Protection — agent risk detections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NetworkAccessTrafficLogs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NetworkAccessTraffic</w:t>
            </w:r>
          </w:p>
        </w:tc>
        <w:tc>
          <w:tcPr/>
          <w:p>
            <w:pPr>
              <w:pStyle w:val="Compact"/>
            </w:pPr>
            <w:r>
              <w:t xml:space="preserve">Conditional</w:t>
            </w:r>
          </w:p>
        </w:tc>
        <w:tc>
          <w:tcPr/>
          <w:p>
            <w:pPr>
              <w:pStyle w:val="Compact"/>
            </w:pPr>
            <w:r>
              <w:t xml:space="preserve">Global Secure Access traffic — no data unless GSA is deployed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RemoteNetworkHealthLogs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RemoteNetworkHealthLogs</w:t>
            </w:r>
          </w:p>
        </w:tc>
        <w:tc>
          <w:tcPr/>
          <w:p>
            <w:pPr>
              <w:pStyle w:val="Compact"/>
            </w:pPr>
            <w:r>
              <w:t xml:space="preserve">Conditional</w:t>
            </w:r>
          </w:p>
        </w:tc>
        <w:tc>
          <w:tcPr/>
          <w:p>
            <w:pPr>
              <w:pStyle w:val="Compact"/>
            </w:pPr>
            <w:r>
              <w:t xml:space="preserve">Global Secure Access remote-network health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EnrichedOffice365AuditLogs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EnrichedMicrosoft365AuditLogs</w:t>
            </w:r>
          </w:p>
        </w:tc>
        <w:tc>
          <w:tcPr/>
          <w:p>
            <w:pPr>
              <w:pStyle w:val="Compact"/>
            </w:pPr>
            <w:r>
              <w:t xml:space="preserve">Conditional</w:t>
            </w:r>
          </w:p>
        </w:tc>
        <w:tc>
          <w:tcPr/>
          <w:p>
            <w:pPr>
              <w:pStyle w:val="Compact"/>
            </w:pPr>
            <w:r>
              <w:t xml:space="preserve">GSA-enriched M365 logs — requires GSA</w:t>
            </w:r>
            <w:r>
              <w:t xml:space="preserve"> </w:t>
            </w:r>
            <w:r>
              <w:rPr>
                <w:i/>
                <w:iCs/>
              </w:rPr>
              <w:t xml:space="preserve">and</w:t>
            </w:r>
            <w:r>
              <w:t xml:space="preserve"> </w:t>
            </w:r>
            <w:r>
              <w:t xml:space="preserve">enrichment enabled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MicrosoftServicePrincipalSignInLogs</w:t>
            </w:r>
          </w:p>
        </w:tc>
        <w:tc>
          <w:tcPr/>
          <w:p>
            <w:pPr>
              <w:pStyle w:val="Compact"/>
            </w:pPr>
            <w:r>
              <w:t xml:space="preserve">—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Not recommended</w:t>
            </w:r>
          </w:p>
        </w:tc>
        <w:tc>
          <w:tcPr/>
          <w:p>
            <w:pPr>
              <w:pStyle w:val="Compact"/>
            </w:pPr>
            <w:r>
              <w:t xml:space="preserve">First-party Microsoft service-to-service auth (preview)</w:t>
            </w:r>
          </w:p>
        </w:tc>
      </w:tr>
    </w:tbl>
    <w:p>
      <w:pPr>
        <w:pStyle w:val="BodyText"/>
      </w:pPr>
      <w:r>
        <w:t xml:space="preserve">Category names and behavior are from</w:t>
      </w:r>
      <w:r>
        <w:t xml:space="preserve"> </w:t>
      </w:r>
      <w:hyperlink r:id="rId9">
        <w:r>
          <w:rPr>
            <w:rStyle w:val="Hyperlink"/>
          </w:rPr>
          <w:t xml:space="preserve">What are the identity logs you can stream to an endpoint?</w:t>
        </w:r>
      </w:hyperlink>
      <w:r>
        <w:t xml:space="preserve">;</w:t>
      </w:r>
      <w:r>
        <w:t xml:space="preserve"> </w:t>
      </w:r>
      <w:r>
        <w:t xml:space="preserve">table names from the</w:t>
      </w:r>
      <w:r>
        <w:t xml:space="preserve"> </w:t>
      </w:r>
      <w:hyperlink r:id="rId12">
        <w:r>
          <w:rPr>
            <w:rStyle w:val="Hyperlink"/>
          </w:rPr>
          <w:t xml:space="preserve">Microsoft Entra ID data connector reference</w:t>
        </w:r>
      </w:hyperlink>
      <w:r>
        <w:t xml:space="preserve"> </w:t>
      </w:r>
      <w:r>
        <w:t xml:space="preserve">and the</w:t>
      </w:r>
      <w:r>
        <w:t xml:space="preserve"> </w:t>
      </w:r>
      <w:hyperlink r:id="rId13">
        <w:r>
          <w:rPr>
            <w:rStyle w:val="Hyperlink"/>
          </w:rPr>
          <w:t xml:space="preserve">ID Protection export guidance</w:t>
        </w:r>
      </w:hyperlink>
      <w:r>
        <w:t xml:space="preserve">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0A047"/>
          <w:left w:val="single" w:sz="24" w:space="0" w:color="00A047"/>
          <w:bottom w:val="single" w:sz="4" w:space="0" w:color="00A047"/>
          <w:right w:val="single" w:sz="4" w:space="0" w:color="00A047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ccf1e3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tip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Confirm table names against your own workspace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Most — not all — Entra tables carry an</w:t>
            </w:r>
            <w:r>
              <w:t xml:space="preserve"> </w:t>
            </w:r>
            <w:r>
              <w:rPr>
                <w:rStyle w:val="VerbatimChar"/>
              </w:rPr>
              <w:t xml:space="preserve">AAD</w:t>
            </w:r>
            <w:r>
              <w:t xml:space="preserve"> </w:t>
            </w:r>
            <w:r>
              <w:t xml:space="preserve">prefix, and the mapping is not</w:t>
            </w:r>
            <w:r>
              <w:t xml:space="preserve"> </w:t>
            </w:r>
            <w:r>
              <w:t xml:space="preserve">mechanical (</w:t>
            </w:r>
            <w:r>
              <w:rPr>
                <w:rStyle w:val="VerbatimChar"/>
              </w:rPr>
              <w:t xml:space="preserve">SignInLogs</w:t>
            </w:r>
            <w:r>
              <w:t xml:space="preserve"> </w:t>
            </w:r>
            <w:r>
              <w:t xml:space="preserve">→</w:t>
            </w:r>
            <w:r>
              <w:t xml:space="preserve"> </w:t>
            </w:r>
            <w:r>
              <w:rPr>
                <w:rStyle w:val="VerbatimChar"/>
              </w:rPr>
              <w:t xml:space="preserve">SigninLogs</w:t>
            </w:r>
            <w:r>
              <w:t xml:space="preserve"> </w:t>
            </w:r>
            <w:r>
              <w:t xml:space="preserve">with a lowercase</w:t>
            </w:r>
            <w:r>
              <w:t xml:space="preserve"> </w:t>
            </w:r>
            <w:r>
              <w:rPr>
                <w:rStyle w:val="VerbatimChar"/>
              </w:rPr>
              <w:t xml:space="preserve">i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EnrichedOffice365AuditLogs</w:t>
            </w:r>
            <w:r>
              <w:t xml:space="preserve"> </w:t>
            </w:r>
            <w:r>
              <w:t xml:space="preserve">→</w:t>
            </w:r>
            <w:r>
              <w:t xml:space="preserve"> </w:t>
            </w:r>
            <w:r>
              <w:rPr>
                <w:rStyle w:val="VerbatimChar"/>
              </w:rPr>
              <w:t xml:space="preserve">EnrichedMicrosoft365AuditLogs</w:t>
            </w:r>
            <w:r>
              <w:t xml:space="preserve">). Before</w:t>
            </w:r>
            <w:r>
              <w:t xml:space="preserve"> </w:t>
            </w:r>
            <w:r>
              <w:t xml:space="preserve">committing detection rules or retention policy that name a table, confirm it</w:t>
            </w:r>
            <w:r>
              <w:t xml:space="preserve"> </w:t>
            </w:r>
            <w:r>
              <w:t xml:space="preserve">resolves in the target workspace. The verification query in</w:t>
            </w:r>
            <w:r>
              <w:t xml:space="preserve"> </w:t>
            </w:r>
            <w:hyperlink w:anchor="verify-emission">
              <w:r>
                <w:rPr>
                  <w:rStyle w:val="Hyperlink"/>
                </w:rPr>
                <w:t xml:space="preserve">§Verify emission</w:t>
              </w:r>
            </w:hyperlink>
            <w:r>
              <w:t xml:space="preserve"> </w:t>
            </w:r>
            <w:r>
              <w:t xml:space="preserve">does this for the seven core tables.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8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19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Do not enable</w:t>
            </w:r>
            <w:r>
              <w:t xml:space="preserve"> </w:t>
            </w:r>
            <w:r>
              <w:rPr>
                <w:rStyle w:val="VerbatimChar"/>
              </w:rPr>
              <w:t xml:space="preserve">MicrosoftServicePrincipalSignInLogs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Microsoft’s own guidance is that these logs</w:t>
            </w:r>
            <w:r>
              <w:t xml:space="preserve"> </w:t>
            </w:r>
            <w:r>
              <w:t xml:space="preserve">“are not necessary for most</w:t>
            </w:r>
            <w:r>
              <w:t xml:space="preserve"> </w:t>
            </w:r>
            <w:r>
              <w:t xml:space="preserve">customers as they are complex and generate a high volume of data,”</w:t>
            </w:r>
            <w:r>
              <w:t xml:space="preserve"> </w:t>
            </w:r>
            <w:r>
              <w:t xml:space="preserve">that the</w:t>
            </w:r>
            <w:r>
              <w:t xml:space="preserve"> </w:t>
            </w:r>
            <w:r>
              <w:t xml:space="preserve">data</w:t>
            </w:r>
            <w:r>
              <w:t xml:space="preserve"> </w:t>
            </w:r>
            <w:r>
              <w:t xml:space="preserve">“is not essential for security investigations,”</w:t>
            </w:r>
            <w:r>
              <w:t xml:space="preserve"> </w:t>
            </w:r>
            <w:r>
              <w:t xml:space="preserve">and that Microsoft</w:t>
            </w:r>
            <w:r>
              <w:t xml:space="preserve"> </w:t>
            </w:r>
            <w:r>
              <w:t xml:space="preserve">“strongly advise[s] against taking actions such as disabling applications</w:t>
            </w:r>
            <w:r>
              <w:t xml:space="preserve"> </w:t>
            </w:r>
            <w:r>
              <w:t xml:space="preserve">based on this data, as doing so could cause misconfigurations and potential</w:t>
            </w:r>
            <w:r>
              <w:t xml:space="preserve"> </w:t>
            </w:r>
            <w:r>
              <w:t xml:space="preserve">adverse effects such as tenant lock-out”</w:t>
            </w:r>
            <w:r>
              <w:t xml:space="preserve"> </w:t>
            </w:r>
            <w:r>
              <w:t xml:space="preserve">(</w:t>
            </w:r>
            <w:hyperlink r:id="rId9">
              <w:r>
                <w:rPr>
                  <w:rStyle w:val="Hyperlink"/>
                </w:rPr>
                <w:t xml:space="preserve">log options reference</w:t>
              </w:r>
            </w:hyperlink>
            <w:r>
              <w:t xml:space="preserve">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ingestion cost is real and the analytic value is negative. Leave it off.</w:t>
            </w:r>
          </w:p>
          <w:p/>
        </w:tc>
      </w:tr>
    </w:tbl>
    <w:bookmarkStart w:id="20" w:name="Xf01b66b7ac5a91c1daf5ff13c05e60f1371c98e"/>
    <w:p>
      <w:pPr>
        <w:pStyle w:val="Heading3"/>
      </w:pPr>
      <w:r>
        <w:t xml:space="preserve">Why the four sign-in categories are not optional</w:t>
      </w:r>
    </w:p>
    <w:p>
      <w:pPr>
        <w:pStyle w:val="FirstParagraph"/>
      </w:pPr>
      <w:r>
        <w:rPr>
          <w:rStyle w:val="VerbatimChar"/>
        </w:rPr>
        <w:t xml:space="preserve">SignInLogs</w:t>
      </w:r>
      <w:r>
        <w:t xml:space="preserve"> </w:t>
      </w:r>
      <w:r>
        <w:t xml:space="preserve">alone covers interactive human sign-ins. It does not cover the</w:t>
      </w:r>
      <w:r>
        <w:t xml:space="preserve"> </w:t>
      </w:r>
      <w:r>
        <w:t xml:space="preserve">client app refreshing a token on a user’s behalf, the service principal</w:t>
      </w:r>
      <w:r>
        <w:t xml:space="preserve"> </w:t>
      </w:r>
      <w:r>
        <w:t xml:space="preserve">authenticating with a client secret, or the managed identity pulling from Key</w:t>
      </w:r>
      <w:r>
        <w:t xml:space="preserve"> </w:t>
      </w:r>
      <w:r>
        <w:t xml:space="preserve">Vault. Those are</w:t>
      </w:r>
      <w:r>
        <w:t xml:space="preserve"> </w:t>
      </w:r>
      <w:r>
        <w:rPr>
          <w:rStyle w:val="VerbatimChar"/>
        </w:rPr>
        <w:t xml:space="preserve">NonInteractiveUserSignInLogs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ServicePrincipalSignInLogs</w:t>
      </w:r>
      <w:r>
        <w:t xml:space="preserve">, and</w:t>
      </w:r>
      <w:r>
        <w:t xml:space="preserve"> </w:t>
      </w:r>
      <w:r>
        <w:rPr>
          <w:rStyle w:val="VerbatimChar"/>
        </w:rPr>
        <w:t xml:space="preserve">ManagedIdentitySignInLogs</w:t>
      </w:r>
      <w:r>
        <w:t xml:space="preserve"> </w:t>
      </w:r>
      <w:r>
        <w:t xml:space="preserve">respectively.</w:t>
      </w:r>
    </w:p>
    <w:p>
      <w:pPr>
        <w:pStyle w:val="BodyText"/>
      </w:pPr>
      <w:r>
        <w:t xml:space="preserve">This is the exact failure the repo’s own boundary probe was written to catch —</w:t>
      </w:r>
      <w:r>
        <w:t xml:space="preserve"> </w:t>
      </w:r>
      <w:r>
        <w:t xml:space="preserve">symptom #1,</w:t>
      </w:r>
      <w:r>
        <w:t xml:space="preserve"> </w:t>
      </w:r>
      <w:r>
        <w:t xml:space="preserve">“invisible non-interactive / service-principal / managed-identity</w:t>
      </w:r>
      <w:r>
        <w:t xml:space="preserve"> </w:t>
      </w:r>
      <w:r>
        <w:t xml:space="preserve">sign-in activity,”</w:t>
      </w:r>
      <w:r>
        <w:t xml:space="preserve"> </w:t>
      </w:r>
      <w:r>
        <w:t xml:space="preserve">validated by</w:t>
      </w:r>
      <w:r>
        <w:t xml:space="preserve"> </w:t>
      </w:r>
      <w:r>
        <w:t xml:space="preserve">[</w:t>
      </w:r>
      <w:r>
        <w:rPr>
          <w:rStyle w:val="VerbatimChar"/>
        </w:rPr>
        <w:t xml:space="preserve">01-entra-diagnostic-completeness.kql</w:t>
      </w:r>
      <w:r>
        <w:t xml:space="preserve">].</w:t>
      </w:r>
      <w:r>
        <w:t xml:space="preserve"> </w:t>
      </w:r>
      <w:r>
        <w:t xml:space="preserve">A tenant with only</w:t>
      </w:r>
      <w:r>
        <w:t xml:space="preserve"> </w:t>
      </w:r>
      <w:r>
        <w:rPr>
          <w:rStyle w:val="VerbatimChar"/>
        </w:rPr>
        <w:t xml:space="preserve">SignInLogs</w:t>
      </w:r>
      <w:r>
        <w:t xml:space="preserve"> </w:t>
      </w:r>
      <w:r>
        <w:t xml:space="preserve">enabled is blind to every non-human</w:t>
      </w:r>
      <w:r>
        <w:t xml:space="preserve"> </w:t>
      </w:r>
      <w:r>
        <w:t xml:space="preserve">authentication in the estate while appearing, on the sign-ins blade, to be</w:t>
      </w:r>
      <w:r>
        <w:t xml:space="preserve"> </w:t>
      </w:r>
      <w:r>
        <w:t xml:space="preserve">fully instrumented.</w:t>
      </w:r>
    </w:p>
    <w:bookmarkEnd w:id="20"/>
    <w:bookmarkEnd w:id="21"/>
    <w:bookmarkStart w:id="27" w:name="path-a-portal"/>
    <w:p>
      <w:pPr>
        <w:pStyle w:val="Heading2"/>
      </w:pPr>
      <w:r>
        <w:t xml:space="preserve">Path A — Portal</w:t>
      </w:r>
    </w:p>
    <w:p>
      <w:pPr>
        <w:pStyle w:val="FirstParagraph"/>
      </w:pPr>
      <w:r>
        <w:t xml:space="preserve">The click-path, for tenants where configuration is a one-time manual act:</w:t>
      </w:r>
    </w:p>
    <w:p>
      <w:pPr>
        <w:pStyle w:val="Compact"/>
        <w:numPr>
          <w:ilvl w:val="0"/>
          <w:numId w:val="1001"/>
        </w:numPr>
      </w:pPr>
      <w:r>
        <w:t xml:space="preserve">Sign in to the</w:t>
      </w:r>
      <w:r>
        <w:t xml:space="preserve"> </w:t>
      </w:r>
      <w:hyperlink r:id="rId22">
        <w:r>
          <w:rPr>
            <w:rStyle w:val="Hyperlink"/>
          </w:rPr>
          <w:t xml:space="preserve">Microsoft Entra admin center</w:t>
        </w:r>
      </w:hyperlink>
      <w:r>
        <w:t xml:space="preserve"> </w:t>
      </w:r>
      <w:r>
        <w:t xml:space="preserve">as at least</w:t>
      </w:r>
      <w:r>
        <w:t xml:space="preserve"> </w:t>
      </w:r>
      <w:r>
        <w:rPr>
          <w:b/>
          <w:bCs/>
        </w:rPr>
        <w:t xml:space="preserve">Security Administrator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Browse to</w:t>
      </w:r>
      <w:r>
        <w:t xml:space="preserve"> </w:t>
      </w:r>
      <w:r>
        <w:rPr>
          <w:b/>
          <w:bCs/>
        </w:rPr>
        <w:t xml:space="preserve">Entra ID</w:t>
      </w:r>
      <w:r>
        <w:t xml:space="preserve"> </w:t>
      </w:r>
      <w:r>
        <w:t xml:space="preserve">→</w:t>
      </w:r>
      <w:r>
        <w:t xml:space="preserve"> </w:t>
      </w:r>
      <w:r>
        <w:rPr>
          <w:b/>
          <w:bCs/>
        </w:rPr>
        <w:t xml:space="preserve">Monitoring &amp; health</w:t>
      </w:r>
      <w:r>
        <w:t xml:space="preserve"> </w:t>
      </w:r>
      <w:r>
        <w:t xml:space="preserve">→</w:t>
      </w:r>
      <w:r>
        <w:t xml:space="preserve"> </w:t>
      </w:r>
      <w:r>
        <w:rPr>
          <w:b/>
          <w:bCs/>
        </w:rPr>
        <w:t xml:space="preserve">Diagnostic settings</w:t>
      </w:r>
      <w:r>
        <w:t xml:space="preserve">.</w:t>
      </w:r>
      <w:r>
        <w:t xml:space="preserve"> </w:t>
      </w:r>
      <w:r>
        <w:t xml:space="preserve">(</w:t>
      </w:r>
      <w:r>
        <w:rPr>
          <w:b/>
          <w:bCs/>
        </w:rPr>
        <w:t xml:space="preserve">Export Settings</w:t>
      </w:r>
      <w:r>
        <w:t xml:space="preserve"> </w:t>
      </w:r>
      <w:r>
        <w:t xml:space="preserve">on the</w:t>
      </w:r>
      <w:r>
        <w:t xml:space="preserve"> </w:t>
      </w:r>
      <w:r>
        <w:rPr>
          <w:b/>
          <w:bCs/>
        </w:rPr>
        <w:t xml:space="preserve">Audit Logs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Sign-ins</w:t>
      </w:r>
      <w:r>
        <w:t xml:space="preserve"> </w:t>
      </w:r>
      <w:r>
        <w:t xml:space="preserve">blade reaches</w:t>
      </w:r>
      <w:r>
        <w:t xml:space="preserve"> </w:t>
      </w:r>
      <w:r>
        <w:t xml:space="preserve">the same place.)</w:t>
      </w:r>
    </w:p>
    <w:p>
      <w:pPr>
        <w:pStyle w:val="Compact"/>
        <w:numPr>
          <w:ilvl w:val="0"/>
          <w:numId w:val="1001"/>
        </w:numPr>
      </w:pPr>
      <w:r>
        <w:t xml:space="preserve">Select</w:t>
      </w:r>
      <w:r>
        <w:t xml:space="preserve"> </w:t>
      </w:r>
      <w:r>
        <w:rPr>
          <w:b/>
          <w:bCs/>
        </w:rPr>
        <w:t xml:space="preserve">+ Add diagnostic setting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Enter a</w:t>
      </w:r>
      <w:r>
        <w:t xml:space="preserve"> </w:t>
      </w:r>
      <w:r>
        <w:rPr>
          <w:b/>
          <w:bCs/>
        </w:rPr>
        <w:t xml:space="preserve">Diagnostic setting name</w:t>
      </w:r>
      <w:r>
        <w:t xml:space="preserve">. This cannot be changed later — pick</w:t>
      </w:r>
      <w:r>
        <w:t xml:space="preserve"> </w:t>
      </w:r>
      <w:r>
        <w:t xml:space="preserve">something an assessor will recognize, e.g. </w:t>
      </w:r>
      <w:r>
        <w:rPr>
          <w:rStyle w:val="VerbatimChar"/>
        </w:rPr>
        <w:t xml:space="preserve">fmp-siem-emission-core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Under</w:t>
      </w:r>
      <w:r>
        <w:t xml:space="preserve"> </w:t>
      </w:r>
      <w:r>
        <w:rPr>
          <w:b/>
          <w:bCs/>
        </w:rPr>
        <w:t xml:space="preserve">Logs</w:t>
      </w:r>
      <w:r>
        <w:t xml:space="preserve">, check every category from the</w:t>
      </w:r>
      <w:r>
        <w:t xml:space="preserve"> </w:t>
      </w:r>
      <w:r>
        <w:rPr>
          <w:b/>
          <w:bCs/>
        </w:rPr>
        <w:t xml:space="preserve">Core</w:t>
      </w:r>
      <w:r>
        <w:t xml:space="preserve"> </w:t>
      </w:r>
      <w:r>
        <w:t xml:space="preserve">tier above, plus the</w:t>
      </w:r>
      <w:r>
        <w:t xml:space="preserve"> </w:t>
      </w:r>
      <w:r>
        <w:rPr>
          <w:b/>
          <w:bCs/>
        </w:rPr>
        <w:t xml:space="preserve">High value</w:t>
      </w:r>
      <w:r>
        <w:t xml:space="preserve"> </w:t>
      </w:r>
      <w:r>
        <w:t xml:space="preserve">tier if ID Protection is licensed.</w:t>
      </w:r>
    </w:p>
    <w:p>
      <w:pPr>
        <w:pStyle w:val="Compact"/>
        <w:numPr>
          <w:ilvl w:val="0"/>
          <w:numId w:val="1001"/>
        </w:numPr>
      </w:pPr>
      <w:r>
        <w:t xml:space="preserve">Under</w:t>
      </w:r>
      <w:r>
        <w:t xml:space="preserve"> </w:t>
      </w:r>
      <w:r>
        <w:rPr>
          <w:b/>
          <w:bCs/>
        </w:rPr>
        <w:t xml:space="preserve">Destination details</w:t>
      </w:r>
      <w:r>
        <w:t xml:space="preserve">, select</w:t>
      </w:r>
      <w:r>
        <w:t xml:space="preserve"> </w:t>
      </w:r>
      <w:r>
        <w:rPr>
          <w:b/>
          <w:bCs/>
        </w:rPr>
        <w:t xml:space="preserve">Send to Log Analytics workspace</w:t>
      </w:r>
      <w:r>
        <w:t xml:space="preserve"> </w:t>
      </w:r>
      <w:r>
        <w:t xml:space="preserve">(and/or</w:t>
      </w:r>
      <w:r>
        <w:t xml:space="preserve"> </w:t>
      </w:r>
      <w:r>
        <w:rPr>
          <w:b/>
          <w:bCs/>
        </w:rPr>
        <w:t xml:space="preserve">Stream to an event hub</w:t>
      </w:r>
      <w:r>
        <w:t xml:space="preserve"> </w:t>
      </w:r>
      <w:r>
        <w:t xml:space="preserve">for a third-party SIEM), then choose the</w:t>
      </w:r>
      <w:r>
        <w:t xml:space="preserve"> </w:t>
      </w:r>
      <w:r>
        <w:t xml:space="preserve">subscription and target.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Save</w:t>
      </w:r>
      <w:r>
        <w:t xml:space="preserve">.</w:t>
      </w:r>
    </w:p>
    <w:p>
      <w:pPr>
        <w:pStyle w:val="FirstParagraph"/>
      </w:pPr>
      <w:r>
        <w:t xml:space="preserve">Data begins appearing at the destination after roughly</w:t>
      </w:r>
      <w:r>
        <w:t xml:space="preserve"> </w:t>
      </w:r>
      <w:r>
        <w:rPr>
          <w:b/>
          <w:bCs/>
        </w:rPr>
        <w:t xml:space="preserve">15 minutes</w:t>
      </w:r>
      <w:r>
        <w:t xml:space="preserve"> </w:t>
      </w:r>
      <w:r>
        <w:t xml:space="preserve">(</w:t>
      </w:r>
      <w:hyperlink r:id="rId23">
        <w:r>
          <w:rPr>
            <w:rStyle w:val="Hyperlink"/>
          </w:rPr>
          <w:t xml:space="preserve">configure diagnostic settings</w:t>
        </w:r>
      </w:hyperlink>
      <w:r>
        <w:t xml:space="preserve">).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The portal is fine for the first tenant and wrong for the fleet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 portal-configured diagnostic setting has no source of truth, no review</w:t>
            </w:r>
            <w:r>
              <w:t xml:space="preserve"> </w:t>
            </w:r>
            <w:r>
              <w:t xml:space="preserve">trail, and no drift detection — it is a click somebody made once. FedRAMP</w:t>
            </w:r>
            <w:r>
              <w:t xml:space="preserve"> </w:t>
            </w:r>
            <w:r>
              <w:rPr>
                <w:b/>
                <w:bCs/>
              </w:rPr>
              <w:t xml:space="preserve">KSI-MLA-EVC</w:t>
            </w:r>
            <w:r>
              <w:t xml:space="preserve"> </w:t>
            </w:r>
            <w:r>
              <w:t xml:space="preserve">requires that the configuration of machine-based information</w:t>
            </w:r>
            <w:r>
              <w:t xml:space="preserve"> </w:t>
            </w:r>
            <w:r>
              <w:t xml:space="preserve">resources</w:t>
            </w:r>
            <w:r>
              <w:t xml:space="preserve"> </w:t>
            </w:r>
            <w:r>
              <w:t xml:space="preserve">“especially infrastructure as code, is persistently evaluated and</w:t>
            </w:r>
            <w:r>
              <w:t xml:space="preserve"> </w:t>
            </w:r>
            <w:r>
              <w:t xml:space="preserve">tested.”</w:t>
            </w:r>
            <w:r>
              <w:t xml:space="preserve"> </w:t>
            </w:r>
            <w:r>
              <w:t xml:space="preserve">Use Path B or C for anything that has to survive an assessment.</w:t>
            </w:r>
          </w:p>
          <w:p/>
        </w:tc>
      </w:tr>
    </w:tbl>
    <w:bookmarkEnd w:id="27"/>
    <w:bookmarkStart w:id="33" w:name="path-b-tenant-scope-arm-bicep"/>
    <w:p>
      <w:pPr>
        <w:pStyle w:val="Heading2"/>
      </w:pPr>
      <w:r>
        <w:t xml:space="preserve">Path B — Tenant-scope ARM / Bicep</w:t>
      </w:r>
    </w:p>
    <w:p>
      <w:pPr>
        <w:pStyle w:val="FirstParagraph"/>
      </w:pPr>
      <w:r>
        <w:t xml:space="preserve">Entra diagnostic settings are the ARM resource type</w:t>
      </w:r>
      <w:r>
        <w:t xml:space="preserve"> </w:t>
      </w:r>
      <w:r>
        <w:rPr>
          <w:rStyle w:val="VerbatimChar"/>
        </w:rPr>
        <w:t xml:space="preserve">microsoft.aadiam/diagnosticSettings</w:t>
      </w:r>
      <w:r>
        <w:t xml:space="preserve">, API version</w:t>
      </w:r>
      <w:r>
        <w:t xml:space="preserve"> </w:t>
      </w:r>
      <w:r>
        <w:rPr>
          <w:rStyle w:val="VerbatimChar"/>
        </w:rPr>
        <w:t xml:space="preserve">2017-04-01</w:t>
      </w:r>
      <w:r>
        <w:t xml:space="preserve">, and they</w:t>
      </w:r>
      <w:r>
        <w:t xml:space="preserve"> </w:t>
      </w:r>
      <w:r>
        <w:t xml:space="preserve">deploy at</w:t>
      </w:r>
      <w:r>
        <w:t xml:space="preserve"> </w:t>
      </w:r>
      <w:r>
        <w:rPr>
          <w:b/>
          <w:bCs/>
        </w:rPr>
        <w:t xml:space="preserve">tenant scope</w:t>
      </w:r>
      <w:r>
        <w:t xml:space="preserve"> </w:t>
      </w:r>
      <w:r>
        <w:t xml:space="preserve">(</w:t>
      </w:r>
      <w:hyperlink r:id="rId28">
        <w:r>
          <w:rPr>
            <w:rStyle w:val="Hyperlink"/>
          </w:rPr>
          <w:t xml:space="preserve">resource reference</w:t>
        </w:r>
      </w:hyperlink>
      <w:r>
        <w:t xml:space="preserve">).</w:t>
      </w:r>
    </w:p>
    <w:p>
      <w:pPr>
        <w:pStyle w:val="SourceCode"/>
      </w:pPr>
      <w:r>
        <w:rPr>
          <w:rStyle w:val="VerbatimChar"/>
        </w:rPr>
        <w:t xml:space="preserve">// entra-diagnostics.bicep</w:t>
      </w:r>
      <w:r>
        <w:br/>
      </w:r>
      <w:r>
        <w:rPr>
          <w:rStyle w:val="VerbatimChar"/>
        </w:rPr>
        <w:t xml:space="preserve">// Deploy with: az deployment tenant create --location &lt;region&gt; \</w:t>
      </w:r>
      <w:r>
        <w:br/>
      </w:r>
      <w:r>
        <w:rPr>
          <w:rStyle w:val="VerbatimChar"/>
        </w:rPr>
        <w:t xml:space="preserve">//   --template-file entra-diagnostics.bicep \</w:t>
      </w:r>
      <w:r>
        <w:br/>
      </w:r>
      <w:r>
        <w:rPr>
          <w:rStyle w:val="VerbatimChar"/>
        </w:rPr>
        <w:t xml:space="preserve">//   --parameters workspaceId=&lt;log-analytics-resource-id&gt;</w:t>
      </w:r>
      <w:r>
        <w:br/>
      </w:r>
      <w:r>
        <w:rPr>
          <w:rStyle w:val="VerbatimChar"/>
        </w:rPr>
        <w:t xml:space="preserve">targetScope = 'tenant'</w:t>
      </w:r>
      <w:r>
        <w:br/>
      </w:r>
      <w:r>
        <w:br/>
      </w:r>
      <w:r>
        <w:rPr>
          <w:rStyle w:val="VerbatimChar"/>
        </w:rPr>
        <w:t xml:space="preserve">@description('Full ARM resource ID of the destination Log Analytics workspace.')</w:t>
      </w:r>
      <w:r>
        <w:br/>
      </w:r>
      <w:r>
        <w:rPr>
          <w:rStyle w:val="VerbatimChar"/>
        </w:rPr>
        <w:t xml:space="preserve">param workspaceId string</w:t>
      </w:r>
      <w:r>
        <w:br/>
      </w:r>
      <w:r>
        <w:br/>
      </w:r>
      <w:r>
        <w:rPr>
          <w:rStyle w:val="VerbatimChar"/>
        </w:rPr>
        <w:t xml:space="preserve">@description('Diagnostic setting name. Immutable once created.')</w:t>
      </w:r>
      <w:r>
        <w:br/>
      </w:r>
      <w:r>
        <w:rPr>
          <w:rStyle w:val="VerbatimChar"/>
        </w:rPr>
        <w:t xml:space="preserve">param settingName string = 'fmp-siem-emission-core'</w:t>
      </w:r>
      <w:r>
        <w:br/>
      </w:r>
      <w:r>
        <w:br/>
      </w:r>
      <w:r>
        <w:rPr>
          <w:rStyle w:val="VerbatimChar"/>
        </w:rPr>
        <w:t xml:space="preserve">var coreCategories = [</w:t>
      </w:r>
      <w:r>
        <w:br/>
      </w:r>
      <w:r>
        <w:rPr>
          <w:rStyle w:val="VerbatimChar"/>
        </w:rPr>
        <w:t xml:space="preserve">  'AuditLogs'</w:t>
      </w:r>
      <w:r>
        <w:br/>
      </w:r>
      <w:r>
        <w:rPr>
          <w:rStyle w:val="VerbatimChar"/>
        </w:rPr>
        <w:t xml:space="preserve">  'SignInLogs'</w:t>
      </w:r>
      <w:r>
        <w:br/>
      </w:r>
      <w:r>
        <w:rPr>
          <w:rStyle w:val="VerbatimChar"/>
        </w:rPr>
        <w:t xml:space="preserve">  'NonInteractiveUserSignInLogs'</w:t>
      </w:r>
      <w:r>
        <w:br/>
      </w:r>
      <w:r>
        <w:rPr>
          <w:rStyle w:val="VerbatimChar"/>
        </w:rPr>
        <w:t xml:space="preserve">  'ServicePrincipalSignInLogs'</w:t>
      </w:r>
      <w:r>
        <w:br/>
      </w:r>
      <w:r>
        <w:rPr>
          <w:rStyle w:val="VerbatimChar"/>
        </w:rPr>
        <w:t xml:space="preserve">  'ManagedIdentitySignInLogs'</w:t>
      </w:r>
      <w:r>
        <w:br/>
      </w:r>
      <w:r>
        <w:rPr>
          <w:rStyle w:val="VerbatimChar"/>
        </w:rPr>
        <w:t xml:space="preserve">  'ProvisioningLogs'</w:t>
      </w:r>
      <w:r>
        <w:br/>
      </w:r>
      <w:r>
        <w:rPr>
          <w:rStyle w:val="VerbatimChar"/>
        </w:rPr>
        <w:t xml:space="preserve">  'MicrosoftGraphActivityLogs'</w:t>
      </w:r>
      <w:r>
        <w:br/>
      </w:r>
      <w:r>
        <w:rPr>
          <w:rStyle w:val="VerbatimChar"/>
        </w:rPr>
        <w:t xml:space="preserve">  'RiskyUsers'</w:t>
      </w:r>
      <w:r>
        <w:br/>
      </w:r>
      <w:r>
        <w:rPr>
          <w:rStyle w:val="VerbatimChar"/>
        </w:rPr>
        <w:t xml:space="preserve">  'UserRiskEvents'</w:t>
      </w:r>
      <w:r>
        <w:br/>
      </w:r>
      <w:r>
        <w:rPr>
          <w:rStyle w:val="VerbatimChar"/>
        </w:rPr>
        <w:t xml:space="preserve">  'RiskyServicePrincipals'</w:t>
      </w:r>
      <w:r>
        <w:br/>
      </w:r>
      <w:r>
        <w:rPr>
          <w:rStyle w:val="VerbatimChar"/>
        </w:rPr>
        <w:t xml:space="preserve">  'ServicePrincipalRiskEvents'</w:t>
      </w:r>
      <w:r>
        <w:br/>
      </w:r>
      <w:r>
        <w:rPr>
          <w:rStyle w:val="VerbatimChar"/>
        </w:rPr>
        <w:t xml:space="preserve">]</w:t>
      </w:r>
      <w:r>
        <w:br/>
      </w:r>
      <w:r>
        <w:br/>
      </w:r>
      <w:r>
        <w:rPr>
          <w:rStyle w:val="VerbatimChar"/>
        </w:rPr>
        <w:t xml:space="preserve">resource entraDiagnostics 'microsoft.aadiam/diagnosticSettings@2017-04-01' = {</w:t>
      </w:r>
      <w:r>
        <w:br/>
      </w:r>
      <w:r>
        <w:rPr>
          <w:rStyle w:val="VerbatimChar"/>
        </w:rPr>
        <w:t xml:space="preserve">  name: settingName</w:t>
      </w:r>
      <w:r>
        <w:br/>
      </w:r>
      <w:r>
        <w:rPr>
          <w:rStyle w:val="VerbatimChar"/>
        </w:rPr>
        <w:t xml:space="preserve">  properties: {</w:t>
      </w:r>
      <w:r>
        <w:br/>
      </w:r>
      <w:r>
        <w:rPr>
          <w:rStyle w:val="VerbatimChar"/>
        </w:rPr>
        <w:t xml:space="preserve">    workspaceId: workspaceId</w:t>
      </w:r>
      <w:r>
        <w:br/>
      </w:r>
      <w:r>
        <w:rPr>
          <w:rStyle w:val="VerbatimChar"/>
        </w:rPr>
        <w:t xml:space="preserve">    logs: [for category in coreCategories: {</w:t>
      </w:r>
      <w:r>
        <w:br/>
      </w:r>
      <w:r>
        <w:rPr>
          <w:rStyle w:val="VerbatimChar"/>
        </w:rPr>
        <w:t xml:space="preserve">      category: category</w:t>
      </w:r>
      <w:r>
        <w:br/>
      </w:r>
      <w:r>
        <w:rPr>
          <w:rStyle w:val="VerbatimChar"/>
        </w:rPr>
        <w:t xml:space="preserve">      enabled: true</w:t>
      </w:r>
      <w:r>
        <w:br/>
      </w:r>
      <w:r>
        <w:rPr>
          <w:rStyle w:val="VerbatimChar"/>
        </w:rPr>
        <w:t xml:space="preserve">      // retentionPolicy is honored only for storage-account destinations.</w:t>
      </w:r>
      <w:r>
        <w:br/>
      </w:r>
      <w:r>
        <w:rPr>
          <w:rStyle w:val="VerbatimChar"/>
        </w:rPr>
        <w:t xml:space="preserve">      // Log Analytics retention is set per-table — see page 4.</w:t>
      </w:r>
      <w:r>
        <w:br/>
      </w:r>
      <w:r>
        <w:rPr>
          <w:rStyle w:val="VerbatimChar"/>
        </w:rPr>
        <w:t xml:space="preserve">      retentionPolicy: {</w:t>
      </w:r>
      <w:r>
        <w:br/>
      </w:r>
      <w:r>
        <w:rPr>
          <w:rStyle w:val="VerbatimChar"/>
        </w:rPr>
        <w:t xml:space="preserve">        days: 0</w:t>
      </w:r>
      <w:r>
        <w:br/>
      </w:r>
      <w:r>
        <w:rPr>
          <w:rStyle w:val="VerbatimChar"/>
        </w:rPr>
        <w:t xml:space="preserve">        enabled: false</w:t>
      </w:r>
      <w:r>
        <w:br/>
      </w:r>
      <w:r>
        <w:rPr>
          <w:rStyle w:val="VerbatimChar"/>
        </w:rPr>
        <w:t xml:space="preserve">      }</w:t>
      </w:r>
      <w:r>
        <w:br/>
      </w:r>
      <w:r>
        <w:rPr>
          <w:rStyle w:val="VerbatimChar"/>
        </w:rPr>
        <w:t xml:space="preserve">    }]</w:t>
      </w:r>
      <w:r>
        <w:br/>
      </w:r>
      <w:r>
        <w:rPr>
          <w:rStyle w:val="VerbatimChar"/>
        </w:rPr>
        <w:t xml:space="preserve">  }</w:t>
      </w:r>
      <w:r>
        <w:br/>
      </w:r>
      <w:r>
        <w:rPr>
          <w:rStyle w:val="VerbatimChar"/>
        </w:rPr>
        <w:t xml:space="preserve">}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rPr>
                <w:rStyle w:val="VerbatimChar"/>
              </w:rPr>
              <w:t xml:space="preserve">retentionPolicy</w:t>
            </w:r>
            <w:r>
              <w:t xml:space="preserve"> </w:t>
            </w:r>
            <w:r>
              <w:t xml:space="preserve">here does nothing for Log Analytics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</w:t>
            </w:r>
            <w:r>
              <w:t xml:space="preserve"> </w:t>
            </w:r>
            <w:r>
              <w:rPr>
                <w:rStyle w:val="VerbatimChar"/>
              </w:rPr>
              <w:t xml:space="preserve">retentionPolicy</w:t>
            </w:r>
            <w:r>
              <w:t xml:space="preserve"> </w:t>
            </w:r>
            <w:r>
              <w:t xml:space="preserve">block on a diagnostic setting is</w:t>
            </w:r>
            <w:r>
              <w:t xml:space="preserve"> </w:t>
            </w:r>
            <w:r>
              <w:t xml:space="preserve">“used for storage</w:t>
            </w:r>
            <w:r>
              <w:t xml:space="preserve"> </w:t>
            </w:r>
            <w:r>
              <w:t xml:space="preserve">accounts only”</w:t>
            </w:r>
            <w:r>
              <w:t xml:space="preserve"> </w:t>
            </w:r>
            <w:r>
              <w:t xml:space="preserve">(</w:t>
            </w:r>
            <w:hyperlink r:id="rId32">
              <w:r>
                <w:rPr>
                  <w:rStyle w:val="Hyperlink"/>
                </w:rPr>
                <w:t xml:space="preserve">Azure Monitor REST API reference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Setting</w:t>
            </w:r>
            <w:r>
              <w:t xml:space="preserve"> </w:t>
            </w:r>
            <w:r>
              <w:rPr>
                <w:rStyle w:val="VerbatimChar"/>
              </w:rPr>
              <w:t xml:space="preserve">days: 3650</w:t>
            </w:r>
            <w:r>
              <w:t xml:space="preserve"> </w:t>
            </w:r>
            <w:r>
              <w:t xml:space="preserve">here and believing you have satisfied AU-11 or M-21-31 is</w:t>
            </w:r>
            <w:r>
              <w:t xml:space="preserve"> </w:t>
            </w:r>
            <w:r>
              <w:t xml:space="preserve">a common and expensive mistake — the retention that counts is configured</w:t>
            </w:r>
            <w:r>
              <w:t xml:space="preserve"> </w:t>
            </w:r>
            <w:r>
              <w:t xml:space="preserve">per-table on the workspace. See</w:t>
            </w:r>
            <w:r>
              <w:t xml:space="preserve"> </w:t>
            </w:r>
            <w:r>
              <w:t xml:space="preserve">Compliance crosswalk and verification.</w:t>
            </w:r>
          </w:p>
          <w:p/>
        </w:tc>
      </w:tr>
    </w:tbl>
    <w:bookmarkEnd w:id="33"/>
    <w:bookmarkStart w:id="36" w:name="path-c-az-rest"/>
    <w:p>
      <w:pPr>
        <w:pStyle w:val="Heading2"/>
      </w:pPr>
      <w:r>
        <w:t xml:space="preserve">Path C —</w:t>
      </w:r>
      <w:r>
        <w:t xml:space="preserve"> </w:t>
      </w:r>
      <w:r>
        <w:rPr>
          <w:rStyle w:val="VerbatimChar"/>
        </w:rPr>
        <w:t xml:space="preserve">az rest</w:t>
      </w:r>
    </w:p>
    <w:p>
      <w:pPr>
        <w:pStyle w:val="FirstParagraph"/>
      </w:pPr>
      <w:r>
        <w:rPr>
          <w:rStyle w:val="VerbatimChar"/>
        </w:rPr>
        <w:t xml:space="preserve">az monitor diagnostic-settings create</w:t>
      </w:r>
      <w:r>
        <w:t xml:space="preserve"> </w:t>
      </w:r>
      <w:r>
        <w:t xml:space="preserve">targets resources inside a resource</w:t>
      </w:r>
      <w:r>
        <w:t xml:space="preserve"> </w:t>
      </w:r>
      <w:r>
        <w:t xml:space="preserve">group and</w:t>
      </w:r>
      <w:r>
        <w:t xml:space="preserve"> </w:t>
      </w:r>
      <w:r>
        <w:rPr>
          <w:b/>
          <w:bCs/>
        </w:rPr>
        <w:t xml:space="preserve">cannot</w:t>
      </w:r>
      <w:r>
        <w:t xml:space="preserve"> </w:t>
      </w:r>
      <w:r>
        <w:t xml:space="preserve">create an Entra tenant-scope setting. Operators who try</w:t>
      </w:r>
      <w:r>
        <w:t xml:space="preserve"> </w:t>
      </w:r>
      <w:r>
        <w:t xml:space="preserve">it hit an opaque failure. Use</w:t>
      </w:r>
      <w:r>
        <w:t xml:space="preserve"> </w:t>
      </w:r>
      <w:r>
        <w:rPr>
          <w:rStyle w:val="VerbatimChar"/>
        </w:rPr>
        <w:t xml:space="preserve">az rest</w:t>
      </w:r>
      <w:r>
        <w:t xml:space="preserve"> </w:t>
      </w:r>
      <w:r>
        <w:t xml:space="preserve">against the ARM endpoint directly:</w:t>
      </w:r>
    </w:p>
    <w:p>
      <w:pPr>
        <w:pStyle w:val="SourceCode"/>
      </w:pPr>
      <w:r>
        <w:rPr>
          <w:rStyle w:val="CommentTok"/>
        </w:rPr>
        <w:t xml:space="preserve">#!/usr/bin/env bash</w:t>
      </w:r>
      <w:r>
        <w:br/>
      </w:r>
      <w:r>
        <w:rPr>
          <w:rStyle w:val="CommentTok"/>
        </w:rPr>
        <w:t xml:space="preserve"># Create or update the Entra tenant diagnostic setting.</w:t>
      </w:r>
      <w:r>
        <w:br/>
      </w:r>
      <w:r>
        <w:rPr>
          <w:rStyle w:val="CommentTok"/>
        </w:rPr>
        <w:t xml:space="preserve"># Requires: Security Administrator on the tenant.</w:t>
      </w:r>
      <w:r>
        <w:br/>
      </w:r>
      <w:r>
        <w:rPr>
          <w:rStyle w:val="BuiltInTok"/>
        </w:rPr>
        <w:t xml:space="preserve">set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-euo</w:t>
      </w:r>
      <w:r>
        <w:rPr>
          <w:rStyle w:val="NormalTok"/>
        </w:rPr>
        <w:t xml:space="preserve"> pipefail</w:t>
      </w:r>
      <w:r>
        <w:br/>
      </w:r>
      <w:r>
        <w:br/>
      </w:r>
      <w:r>
        <w:rPr>
          <w:rStyle w:val="VariableTok"/>
        </w:rPr>
        <w:t xml:space="preserve">SETTING_NAME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"fmp-siem-emission-core"</w:t>
      </w:r>
      <w:r>
        <w:br/>
      </w:r>
      <w:r>
        <w:rPr>
          <w:rStyle w:val="VariableTok"/>
        </w:rPr>
        <w:t xml:space="preserve">WORKSPACE_ID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"/subscriptions/</w:t>
      </w:r>
      <w:r>
        <w:rPr>
          <w:rStyle w:val="VariableTok"/>
        </w:rPr>
        <w:t xml:space="preserve">${SUBSCRIPTION_ID}</w:t>
      </w:r>
      <w:r>
        <w:rPr>
          <w:rStyle w:val="StringTok"/>
        </w:rPr>
        <w:t xml:space="preserve">/resourceGroups/</w:t>
      </w:r>
      <w:r>
        <w:rPr>
          <w:rStyle w:val="VariableTok"/>
        </w:rPr>
        <w:t xml:space="preserve">${RG}</w:t>
      </w:r>
      <w:r>
        <w:rPr>
          <w:rStyle w:val="StringTok"/>
        </w:rPr>
        <w:t xml:space="preserve">/providers/Microsoft.OperationalInsights/workspaces/</w:t>
      </w:r>
      <w:r>
        <w:rPr>
          <w:rStyle w:val="VariableTok"/>
        </w:rPr>
        <w:t xml:space="preserve">${WORKSPACE}</w:t>
      </w:r>
      <w:r>
        <w:rPr>
          <w:rStyle w:val="StringTok"/>
        </w:rPr>
        <w:t xml:space="preserve">"</w:t>
      </w:r>
      <w:r>
        <w:br/>
      </w:r>
      <w:r>
        <w:br/>
      </w:r>
      <w:r>
        <w:rPr>
          <w:rStyle w:val="VariableTok"/>
        </w:rPr>
        <w:t xml:space="preserve">CATEGORIES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(</w:t>
      </w:r>
      <w:r>
        <w:br/>
      </w:r>
      <w:r>
        <w:rPr>
          <w:rStyle w:val="NormalTok"/>
        </w:rPr>
        <w:t xml:space="preserve">  AuditLogs SignInLogs NonInteractiveUserSignInLogs</w:t>
      </w:r>
      <w:r>
        <w:br/>
      </w:r>
      <w:r>
        <w:rPr>
          <w:rStyle w:val="NormalTok"/>
        </w:rPr>
        <w:t xml:space="preserve">  ServicePrincipalSignInLogs ManagedIdentitySignInLogs</w:t>
      </w:r>
      <w:r>
        <w:br/>
      </w:r>
      <w:r>
        <w:rPr>
          <w:rStyle w:val="NormalTok"/>
        </w:rPr>
        <w:t xml:space="preserve">  ProvisioningLogs MicrosoftGraphActivityLogs</w:t>
      </w:r>
      <w:r>
        <w:br/>
      </w:r>
      <w:r>
        <w:rPr>
          <w:rStyle w:val="NormalTok"/>
        </w:rPr>
        <w:t xml:space="preserve">  RiskyUsers UserRiskEvents</w:t>
      </w:r>
      <w:r>
        <w:br/>
      </w:r>
      <w:r>
        <w:rPr>
          <w:rStyle w:val="NormalTok"/>
        </w:rPr>
        <w:t xml:space="preserve">  RiskyServicePrincipals ServicePrincipalRiskEvents</w:t>
      </w:r>
      <w:r>
        <w:br/>
      </w:r>
      <w:r>
        <w:rPr>
          <w:rStyle w:val="VariableTok"/>
        </w:rPr>
        <w:t xml:space="preserve">)</w:t>
      </w:r>
      <w:r>
        <w:br/>
      </w:r>
      <w:r>
        <w:br/>
      </w:r>
      <w:r>
        <w:rPr>
          <w:rStyle w:val="VariableTok"/>
        </w:rPr>
        <w:t xml:space="preserve">LOGS_JSON</w:t>
      </w:r>
      <w:r>
        <w:rPr>
          <w:rStyle w:val="OperatorTok"/>
        </w:rPr>
        <w:t xml:space="preserve">=</w:t>
      </w:r>
      <w:r>
        <w:rPr>
          <w:rStyle w:val="VariableTok"/>
        </w:rPr>
        <w:t xml:space="preserve">$(</w:t>
      </w:r>
      <w:r>
        <w:rPr>
          <w:rStyle w:val="BuiltInTok"/>
        </w:rPr>
        <w:t xml:space="preserve">printf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'%s\n'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${CATEGORIES</w:t>
      </w:r>
      <w:r>
        <w:rPr>
          <w:rStyle w:val="OperatorTok"/>
        </w:rPr>
        <w:t xml:space="preserve">[@]</w:t>
      </w:r>
      <w:r>
        <w:rPr>
          <w:rStyle w:val="VariableTok"/>
        </w:rPr>
        <w:t xml:space="preserve">}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-R</w:t>
      </w:r>
      <w:r>
        <w:rPr>
          <w:rStyle w:val="NormalTok"/>
        </w:rPr>
        <w:t xml:space="preserve"> . </w:t>
      </w:r>
      <w:r>
        <w:rPr>
          <w:rStyle w:val="KeywordTok"/>
        </w:rPr>
        <w:t xml:space="preserve">|</w:t>
      </w:r>
      <w:r>
        <w:rPr>
          <w:rStyle w:val="NormalTok"/>
        </w:rPr>
        <w:t xml:space="preserve"> 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'map({category: ., enabled: true})'</w:t>
      </w:r>
      <w:r>
        <w:rPr>
          <w:rStyle w:val="VariableTok"/>
        </w:rPr>
        <w:t xml:space="preserve">)</w:t>
      </w:r>
      <w:r>
        <w:br/>
      </w:r>
      <w:r>
        <w:br/>
      </w:r>
      <w:r>
        <w:rPr>
          <w:rStyle w:val="ExtensionTok"/>
        </w:rPr>
        <w:t xml:space="preserve">az</w:t>
      </w:r>
      <w:r>
        <w:rPr>
          <w:rStyle w:val="NormalTok"/>
        </w:rPr>
        <w:t xml:space="preserve"> rest </w:t>
      </w:r>
      <w:r>
        <w:rPr>
          <w:rStyle w:val="AttributeTok"/>
        </w:rPr>
        <w:t xml:space="preserve">--method</w:t>
      </w:r>
      <w:r>
        <w:rPr>
          <w:rStyle w:val="NormalTok"/>
        </w:rPr>
        <w:t xml:space="preserve"> PUT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--uri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"https://management.azure.com/providers/microsoft.aadiam/diagnosticSettings/</w:t>
      </w:r>
      <w:r>
        <w:rPr>
          <w:rStyle w:val="VariableTok"/>
        </w:rPr>
        <w:t xml:space="preserve">${SETTING_NAME}</w:t>
      </w:r>
      <w:r>
        <w:rPr>
          <w:rStyle w:val="StringTok"/>
        </w:rPr>
        <w:t xml:space="preserve">?api-version=2017-04-01"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--headers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"Content-Type=application/json"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--body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$(</w:t>
      </w:r>
      <w:r>
        <w:rPr>
          <w:rStyle w:val="ExtensionTok"/>
        </w:rPr>
        <w:t xml:space="preserve">jq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-n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--arg</w:t>
      </w:r>
      <w:r>
        <w:rPr>
          <w:rStyle w:val="NormalTok"/>
        </w:rPr>
        <w:t xml:space="preserve"> ws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$WORKSPACE_ID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AttributeTok"/>
        </w:rPr>
        <w:t xml:space="preserve">--argjson</w:t>
      </w:r>
      <w:r>
        <w:rPr>
          <w:rStyle w:val="NormalTok"/>
        </w:rPr>
        <w:t xml:space="preserve"> logs </w:t>
      </w:r>
      <w:r>
        <w:rPr>
          <w:rStyle w:val="StringTok"/>
        </w:rPr>
        <w:t xml:space="preserve">"</w:t>
      </w:r>
      <w:r>
        <w:rPr>
          <w:rStyle w:val="VariableTok"/>
        </w:rPr>
        <w:t xml:space="preserve">$LOGS_JSON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'{properties: {workspaceId: $ws, logs: $logs}}'</w:t>
      </w:r>
      <w:r>
        <w:rPr>
          <w:rStyle w:val="VariableTok"/>
        </w:rPr>
        <w:t xml:space="preserve">)</w:t>
      </w:r>
      <w:r>
        <w:rPr>
          <w:rStyle w:val="StringTok"/>
        </w:rPr>
        <w:t xml:space="preserve">"</w:t>
      </w:r>
    </w:p>
    <w:p>
      <w:pPr>
        <w:pStyle w:val="FirstParagraph"/>
      </w:pPr>
      <w:r>
        <w:t xml:space="preserve">Read the current state back — this is also the supported way to discover which</w:t>
      </w:r>
      <w:r>
        <w:t xml:space="preserve"> </w:t>
      </w:r>
      <w:r>
        <w:t xml:space="preserve">categories a given tenant actually supports, since availability varies with</w:t>
      </w:r>
      <w:r>
        <w:t xml:space="preserve"> </w:t>
      </w:r>
      <w:r>
        <w:t xml:space="preserve">licensing and feature enablement:</w:t>
      </w:r>
    </w:p>
    <w:p>
      <w:pPr>
        <w:pStyle w:val="SourceCode"/>
      </w:pPr>
      <w:r>
        <w:rPr>
          <w:rStyle w:val="ExtensionTok"/>
        </w:rPr>
        <w:t xml:space="preserve">az</w:t>
      </w:r>
      <w:r>
        <w:rPr>
          <w:rStyle w:val="NormalTok"/>
        </w:rPr>
        <w:t xml:space="preserve"> rest </w:t>
      </w:r>
      <w:r>
        <w:rPr>
          <w:rStyle w:val="AttributeTok"/>
        </w:rPr>
        <w:t xml:space="preserve">--method</w:t>
      </w:r>
      <w:r>
        <w:rPr>
          <w:rStyle w:val="NormalTok"/>
        </w:rPr>
        <w:t xml:space="preserve"> GET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--uri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"https://management.azure.com/providers/microsoft.aadiam/diagnosticSettings?api-version=2017-04-01"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--query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"value[].{name:name, workspace:properties.workspaceId, categories:properties.logs[?enabled].category}"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\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-o</w:t>
      </w:r>
      <w:r>
        <w:rPr>
          <w:rStyle w:val="NormalTok"/>
        </w:rPr>
        <w:t xml:space="preserve"> jsonc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Sovereign clouds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Replace</w:t>
            </w:r>
            <w:r>
              <w:t xml:space="preserve"> </w:t>
            </w:r>
            <w:r>
              <w:rPr>
                <w:rStyle w:val="VerbatimChar"/>
              </w:rPr>
              <w:t xml:space="preserve">management.azure.com</w:t>
            </w:r>
            <w:r>
              <w:t xml:space="preserve"> </w:t>
            </w:r>
            <w:r>
              <w:t xml:space="preserve">with</w:t>
            </w:r>
            <w:r>
              <w:t xml:space="preserve"> </w:t>
            </w:r>
            <w:r>
              <w:rPr>
                <w:rStyle w:val="VerbatimChar"/>
              </w:rPr>
              <w:t xml:space="preserve">management.usgovcloudapi.net</w:t>
            </w:r>
            <w:r>
              <w:t xml:space="preserve"> </w:t>
            </w:r>
            <w:r>
              <w:t xml:space="preserve">for Azure</w:t>
            </w:r>
            <w:r>
              <w:t xml:space="preserve"> </w:t>
            </w:r>
            <w:r>
              <w:t xml:space="preserve">Government. Entra portal and Graph endpoints shift too — see the</w:t>
            </w:r>
            <w:r>
              <w:t xml:space="preserve"> </w:t>
            </w:r>
            <w:r>
              <w:t xml:space="preserve">endpoint table. GCC (the current the Federal Modernization Program</w:t>
            </w:r>
            <w:r>
              <w:t xml:space="preserve"> </w:t>
            </w:r>
            <w:r>
              <w:t xml:space="preserve">boundary) stays on the worldwide ARM and Graph endpoints.</w:t>
            </w:r>
          </w:p>
          <w:p/>
        </w:tc>
      </w:tr>
    </w:tbl>
    <w:bookmarkEnd w:id="36"/>
    <w:bookmarkStart w:id="46" w:name="Xd9eb44045406074b62423f2dcda3a57cbef88dd"/>
    <w:p>
      <w:pPr>
        <w:pStyle w:val="Heading2"/>
      </w:pPr>
      <w:r>
        <w:t xml:space="preserve">Microsoft Graph — targeted evidence, not the feed</w:t>
      </w:r>
    </w:p>
    <w:p>
      <w:pPr>
        <w:pStyle w:val="FirstParagraph"/>
      </w:pPr>
      <w:r>
        <w:t xml:space="preserve">Graph’s</w:t>
      </w:r>
      <w:r>
        <w:t xml:space="preserve"> </w:t>
      </w:r>
      <w:r>
        <w:rPr>
          <w:rStyle w:val="VerbatimChar"/>
        </w:rPr>
        <w:t xml:space="preserve">auditLogs</w:t>
      </w:r>
      <w:r>
        <w:t xml:space="preserve"> </w:t>
      </w:r>
      <w:r>
        <w:t xml:space="preserve">endpoints answer</w:t>
      </w:r>
      <w:r>
        <w:t xml:space="preserve"> </w:t>
      </w:r>
      <w:r>
        <w:rPr>
          <w:i/>
          <w:iCs/>
        </w:rPr>
        <w:t xml:space="preserve">“show me this specific thing”</w:t>
      </w:r>
      <w:r>
        <w:t xml:space="preserve">. They are</w:t>
      </w:r>
      <w:r>
        <w:t xml:space="preserve"> </w:t>
      </w:r>
      <w:r>
        <w:t xml:space="preserve">the wrong tool for continuous ingestion, and Microsoft says so directly: the</w:t>
      </w:r>
      <w:r>
        <w:t xml:space="preserve"> </w:t>
      </w:r>
      <w:r>
        <w:t xml:space="preserve">API</w:t>
      </w:r>
      <w:r>
        <w:t xml:space="preserve"> </w:t>
      </w:r>
      <w:r>
        <w:t xml:space="preserve">“isn’t designed for pulling large amounts of activity data,”</w:t>
      </w:r>
      <w:r>
        <w:t xml:space="preserve"> </w:t>
      </w:r>
      <w:r>
        <w:t xml:space="preserve">which</w:t>
      </w:r>
      <w:r>
        <w:t xml:space="preserve"> </w:t>
      </w:r>
      <w:r>
        <w:t xml:space="preserve">“might</w:t>
      </w:r>
      <w:r>
        <w:t xml:space="preserve"> </w:t>
      </w:r>
      <w:r>
        <w:t xml:space="preserve">lead to issues with pagination and performance”</w:t>
      </w:r>
      <w:r>
        <w:t xml:space="preserve"> </w:t>
      </w:r>
      <w:r>
        <w:t xml:space="preserve">(</w:t>
      </w:r>
      <w:hyperlink r:id="rId37">
        <w:r>
          <w:rPr>
            <w:rStyle w:val="Hyperlink"/>
          </w:rPr>
          <w:t xml:space="preserve">analyze activity logs with Graph</w:t>
        </w:r>
      </w:hyperlink>
      <w:r>
        <w:t xml:space="preserve">).</w:t>
      </w:r>
    </w:p>
    <w:bookmarkStart w:id="40" w:name="endpoints"/>
    <w:p>
      <w:pPr>
        <w:pStyle w:val="Heading3"/>
      </w:pPr>
      <w:r>
        <w:t xml:space="preserve">Endpoints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Returns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 /v1.0/auditLogs/directoryAudits</w:t>
            </w:r>
          </w:p>
        </w:tc>
        <w:tc>
          <w:tcPr/>
          <w:p>
            <w:pPr>
              <w:pStyle w:val="Compact"/>
            </w:pPr>
            <w:r>
              <w:t xml:space="preserve">Directory change history — role grants, app consent, password resets, group management (</w:t>
            </w:r>
            <w:hyperlink r:id="rId38">
              <w:r>
                <w:rPr>
                  <w:rStyle w:val="Hyperlink"/>
                </w:rPr>
                <w:t xml:space="preserve">reference</w:t>
              </w:r>
            </w:hyperlink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 /v1.0/auditLogs/signIns</w:t>
            </w:r>
          </w:p>
        </w:tc>
        <w:tc>
          <w:tcPr/>
          <w:p>
            <w:pPr>
              <w:pStyle w:val="Compact"/>
            </w:pPr>
            <w:r>
              <w:t xml:space="preserve">Interactive, non-interactive, service-principal, and managed-identity sign-ins (</w:t>
            </w:r>
            <w:hyperlink r:id="rId39">
              <w:r>
                <w:rPr>
                  <w:rStyle w:val="Hyperlink"/>
                </w:rPr>
                <w:t xml:space="preserve">reference</w:t>
              </w:r>
            </w:hyperlink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 /v1.0/auditLogs/provisioning</w:t>
            </w:r>
          </w:p>
        </w:tc>
        <w:tc>
          <w:tcPr/>
          <w:p>
            <w:pPr>
              <w:pStyle w:val="Compact"/>
            </w:pPr>
            <w:r>
              <w:t xml:space="preserve">Provisioning-service activity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 /beta/auditLogs/signUps</w:t>
            </w:r>
          </w:p>
        </w:tc>
        <w:tc>
          <w:tcPr/>
          <w:p>
            <w:pPr>
              <w:pStyle w:val="Compact"/>
            </w:pPr>
            <w:r>
              <w:t xml:space="preserve">Self-service sign-up activity (beta — not for production)</w:t>
            </w:r>
          </w:p>
        </w:tc>
      </w:tr>
    </w:tbl>
    <w:bookmarkEnd w:id="40"/>
    <w:bookmarkStart w:id="43" w:name="permissions"/>
    <w:p>
      <w:pPr>
        <w:pStyle w:val="Heading3"/>
      </w:pPr>
      <w:r>
        <w:t xml:space="preserve">Permissions</w:t>
      </w:r>
    </w:p>
    <w:p>
      <w:pPr>
        <w:pStyle w:val="FirstParagraph"/>
      </w:pPr>
      <w:r>
        <w:rPr>
          <w:rStyle w:val="VerbatimChar"/>
        </w:rPr>
        <w:t xml:space="preserve">AuditLog.Read.All</w:t>
      </w:r>
      <w:r>
        <w:t xml:space="preserve"> </w:t>
      </w:r>
      <w:r>
        <w:t xml:space="preserve">is the least-privileged permission for both delegated and</w:t>
      </w:r>
      <w:r>
        <w:t xml:space="preserve"> </w:t>
      </w:r>
      <w:r>
        <w:t xml:space="preserve">application access on</w:t>
      </w:r>
      <w:r>
        <w:t xml:space="preserve"> </w:t>
      </w:r>
      <w:r>
        <w:rPr>
          <w:rStyle w:val="VerbatimChar"/>
        </w:rPr>
        <w:t xml:space="preserve">directoryAudits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signIns</w:t>
      </w:r>
      <w:r>
        <w:t xml:space="preserve">.</w:t>
      </w:r>
      <w:r>
        <w:t xml:space="preserve"> </w:t>
      </w:r>
      <w:r>
        <w:rPr>
          <w:rStyle w:val="VerbatimChar"/>
        </w:rPr>
        <w:t xml:space="preserve">Get directoryAudit</w:t>
      </w:r>
      <w:r>
        <w:t xml:space="preserve"> </w:t>
      </w:r>
      <w:r>
        <w:t xml:space="preserve">(single item) additionally requires</w:t>
      </w:r>
      <w:r>
        <w:t xml:space="preserve"> </w:t>
      </w:r>
      <w:r>
        <w:rPr>
          <w:rStyle w:val="VerbatimChar"/>
        </w:rPr>
        <w:t xml:space="preserve">Directory.Read.All</w:t>
      </w:r>
      <w:r>
        <w:t xml:space="preserve">. For delegated</w:t>
      </w:r>
      <w:r>
        <w:t xml:space="preserve"> </w:t>
      </w:r>
      <w:r>
        <w:t xml:space="preserve">access the signed-in user must hold a supporting role —</w:t>
      </w:r>
      <w:r>
        <w:t xml:space="preserve"> </w:t>
      </w:r>
      <w:r>
        <w:rPr>
          <w:b/>
          <w:bCs/>
        </w:rPr>
        <w:t xml:space="preserve">Reports Reader</w:t>
      </w:r>
      <w:r>
        <w:t xml:space="preserve">,</w:t>
      </w:r>
      <w:r>
        <w:t xml:space="preserve"> </w:t>
      </w:r>
      <w:r>
        <w:rPr>
          <w:b/>
          <w:bCs/>
        </w:rPr>
        <w:t xml:space="preserve">Security Reader</w:t>
      </w:r>
      <w:r>
        <w:t xml:space="preserve">,</w:t>
      </w:r>
      <w:r>
        <w:t xml:space="preserve"> </w:t>
      </w:r>
      <w:r>
        <w:rPr>
          <w:b/>
          <w:bCs/>
        </w:rPr>
        <w:t xml:space="preserve">Security Administrator</w:t>
      </w:r>
      <w:r>
        <w:t xml:space="preserve">, or</w:t>
      </w:r>
      <w:r>
        <w:t xml:space="preserve"> </w:t>
      </w:r>
      <w:r>
        <w:rPr>
          <w:b/>
          <w:bCs/>
        </w:rPr>
        <w:t xml:space="preserve">Global Reader</w:t>
      </w:r>
      <w:r>
        <w:t xml:space="preserve"> </w:t>
      </w:r>
      <w:r>
        <w:t xml:space="preserve">depending on the endpoint.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EB9113"/>
          <w:left w:val="single" w:sz="24" w:space="0" w:color="EB9113"/>
          <w:bottom w:val="single" w:sz="4" w:space="0" w:color="EB9113"/>
          <w:right w:val="single" w:sz="4" w:space="0" w:color="EB9113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cef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1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warning.png" id="4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Conditional Access data is separately gated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rPr>
                <w:rStyle w:val="VerbatimChar"/>
              </w:rPr>
              <w:t xml:space="preserve">appliedConditionalAccessPolicies</w:t>
            </w:r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omitted</w:t>
            </w:r>
            <w:r>
              <w:t xml:space="preserve"> </w:t>
            </w:r>
            <w:r>
              <w:t xml:space="preserve">from the</w:t>
            </w:r>
            <w:r>
              <w:t xml:space="preserve"> </w:t>
            </w:r>
            <w:r>
              <w:rPr>
                <w:rStyle w:val="VerbatimChar"/>
              </w:rPr>
              <w:t xml:space="preserve">signIns</w:t>
            </w:r>
            <w:r>
              <w:t xml:space="preserve"> </w:t>
            </w:r>
            <w:r>
              <w:t xml:space="preserve">response</w:t>
            </w:r>
            <w:r>
              <w:t xml:space="preserve"> </w:t>
            </w:r>
            <w:r>
              <w:t xml:space="preserve">unless the caller also holds</w:t>
            </w:r>
            <w:r>
              <w:t xml:space="preserve"> </w:t>
            </w:r>
            <w:r>
              <w:rPr>
                <w:rStyle w:val="VerbatimChar"/>
              </w:rPr>
              <w:t xml:space="preserve">Policy.Read.All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Policy.Read.ConditionalAccess</w:t>
            </w:r>
            <w:r>
              <w:t xml:space="preserve">, or</w:t>
            </w:r>
            <w:r>
              <w:t xml:space="preserve"> </w:t>
            </w:r>
            <w:r>
              <w:rPr>
                <w:rStyle w:val="VerbatimChar"/>
              </w:rPr>
              <w:t xml:space="preserve">Policy.ReadWrite.ConditionalAccess</w:t>
            </w:r>
            <w:r>
              <w:t xml:space="preserve"> </w:t>
            </w:r>
            <w:r>
              <w:t xml:space="preserve">(</w:t>
            </w:r>
            <w:hyperlink r:id="rId39">
              <w:r>
                <w:rPr>
                  <w:rStyle w:val="Hyperlink"/>
                </w:rPr>
                <w:t xml:space="preserve">signIns permissions</w:t>
              </w:r>
            </w:hyperlink>
            <w:r>
              <w:t xml:space="preserve">).</w:t>
            </w:r>
          </w:p>
          <w:p>
            <w:pPr>
              <w:pStyle w:val="BodyText"/>
            </w:pPr>
            <w:pPr>
              <w:spacing w:after="16"/>
            </w:pPr>
            <w:r>
              <w:t xml:space="preserve">The property is dropped silently — no error, no warning. An evidence pipeline</w:t>
            </w:r>
            <w:r>
              <w:t xml:space="preserve"> </w:t>
            </w:r>
            <w:r>
              <w:t xml:space="preserve">built without one of those permissions produces sign-in records that look</w:t>
            </w:r>
            <w:r>
              <w:t xml:space="preserve"> </w:t>
            </w:r>
            <w:r>
              <w:t xml:space="preserve">complete and contain no CA evaluation data at all, which is precisely the</w:t>
            </w:r>
            <w:r>
              <w:t xml:space="preserve"> </w:t>
            </w:r>
            <w:r>
              <w:t xml:space="preserve">evidence AC-2 and AC-6 assessment turns on. This is the repo’s boundary-probe</w:t>
            </w:r>
            <w:r>
              <w:t xml:space="preserve"> </w:t>
            </w:r>
            <w:r>
              <w:t xml:space="preserve">symptom #5,</w:t>
            </w:r>
            <w:r>
              <w:t xml:space="preserve"> </w:t>
            </w:r>
            <w:r>
              <w:t xml:space="preserve">“CA evaluation-log incompleteness.”</w:t>
            </w:r>
          </w:p>
          <w:p/>
        </w:tc>
      </w:tr>
    </w:tbl>
    <w:bookmarkEnd w:id="43"/>
    <w:bookmarkStart w:id="45" w:name="example-ca-failures-in-a-bounded-window"/>
    <w:p>
      <w:pPr>
        <w:pStyle w:val="Heading3"/>
      </w:pPr>
      <w:r>
        <w:t xml:space="preserve">Example — CA failures in a bounded window</w:t>
      </w:r>
    </w:p>
    <w:p>
      <w:pPr>
        <w:pStyle w:val="FirstParagraph"/>
      </w:pPr>
      <w:r>
        <w:t xml:space="preserve">Always apply a</w:t>
      </w:r>
      <w:r>
        <w:t xml:space="preserve"> </w:t>
      </w:r>
      <w:r>
        <w:rPr>
          <w:rStyle w:val="VerbatimChar"/>
        </w:rPr>
        <w:t xml:space="preserve">createdDateTime</w:t>
      </w:r>
      <w:r>
        <w:t xml:space="preserve"> </w:t>
      </w:r>
      <w:r>
        <w:t xml:space="preserve">filter; unbounded queries time out.</w:t>
      </w:r>
    </w:p>
    <w:p>
      <w:pPr>
        <w:pStyle w:val="SourceCode"/>
      </w:pPr>
      <w:r>
        <w:rPr>
          <w:rStyle w:val="VerbatimChar"/>
        </w:rPr>
        <w:t xml:space="preserve">GET https://graph.microsoft.com/v1.0/auditLogs/signIns</w:t>
      </w:r>
      <w:r>
        <w:br/>
      </w:r>
      <w:r>
        <w:rPr>
          <w:rStyle w:val="VerbatimChar"/>
        </w:rPr>
        <w:t xml:space="preserve">  ?$filter=conditionalAccessStatus eq 'failure'</w:t>
      </w:r>
      <w:r>
        <w:br/>
      </w:r>
      <w:r>
        <w:rPr>
          <w:rStyle w:val="VerbatimChar"/>
        </w:rPr>
        <w:t xml:space="preserve">    and createdDateTime ge 2026-08-01T00:00:00Z</w:t>
      </w:r>
      <w:r>
        <w:br/>
      </w:r>
      <w:r>
        <w:rPr>
          <w:rStyle w:val="VerbatimChar"/>
        </w:rPr>
        <w:t xml:space="preserve">    and createdDateTime lt 2026-08-08T00:00:00Z</w:t>
      </w:r>
      <w:r>
        <w:br/>
      </w:r>
      <w:r>
        <w:rPr>
          <w:rStyle w:val="VerbatimChar"/>
        </w:rPr>
        <w:t xml:space="preserve">  &amp;$top=999</w:t>
      </w:r>
      <w:r>
        <w:br/>
      </w:r>
      <w:r>
        <w:rPr>
          <w:rStyle w:val="VerbatimChar"/>
        </w:rPr>
        <w:t xml:space="preserve">Authorization: Bearer {token}</w:t>
      </w:r>
    </w:p>
    <w:p>
      <w:pPr>
        <w:pStyle w:val="FirstParagraph"/>
      </w:pPr>
      <w:r>
        <w:t xml:space="preserve">PowerShell equivalent, via the Graph SDK:</w:t>
      </w:r>
    </w:p>
    <w:p>
      <w:pPr>
        <w:pStyle w:val="SourceCode"/>
      </w:pPr>
      <w:r>
        <w:rPr>
          <w:rStyle w:val="NormalTok"/>
        </w:rPr>
        <w:t xml:space="preserve">Connect-MgGraph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Scopes </w:t>
      </w:r>
      <w:r>
        <w:rPr>
          <w:rStyle w:val="StringTok"/>
        </w:rPr>
        <w:t xml:space="preserve">'AuditLog.Read.All'</w:t>
      </w:r>
      <w:r>
        <w:rPr>
          <w:rStyle w:val="OperatorTok"/>
        </w:rPr>
        <w:t xml:space="preserve">,</w:t>
      </w:r>
      <w:r>
        <w:rPr>
          <w:rStyle w:val="StringTok"/>
        </w:rPr>
        <w:t xml:space="preserve">'Policy.Read.All'</w:t>
      </w:r>
      <w:r>
        <w:br/>
      </w:r>
      <w:r>
        <w:br/>
      </w:r>
      <w:r>
        <w:rPr>
          <w:rStyle w:val="NormalTok"/>
        </w:rPr>
        <w:t xml:space="preserve">Get-MgAuditLogDirectoryAudit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Filter </w:t>
      </w:r>
      <w:r>
        <w:rPr>
          <w:rStyle w:val="VerbatimStringTok"/>
        </w:rPr>
        <w:t xml:space="preserve">@"</w:t>
      </w:r>
      <w:r>
        <w:br/>
      </w:r>
      <w:r>
        <w:rPr>
          <w:rStyle w:val="VerbatimStringTok"/>
        </w:rPr>
        <w:t xml:space="preserve">category eq 'RoleManagement' and activityDateTime gt 2026-08-01T00:00:00Z</w:t>
      </w:r>
      <w:r>
        <w:br/>
      </w:r>
      <w:r>
        <w:rPr>
          <w:rStyle w:val="VerbatimStringTok"/>
        </w:rPr>
        <w:t xml:space="preserve">"@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-</w:t>
      </w:r>
      <w:r>
        <w:rPr>
          <w:rStyle w:val="NormalTok"/>
        </w:rPr>
        <w:t xml:space="preserve">All</w:t>
      </w:r>
    </w:p>
    <w:p>
      <w:pPr>
        <w:pStyle w:val="FirstParagraph"/>
      </w:pPr>
      <w:r>
        <w:t xml:space="preserve">For Azure Government, connect with</w:t>
      </w:r>
      <w:r>
        <w:t xml:space="preserve"> </w:t>
      </w:r>
      <w:r>
        <w:rPr>
          <w:rStyle w:val="VerbatimChar"/>
        </w:rPr>
        <w:t xml:space="preserve">-Environment USGov</w:t>
      </w:r>
      <w:r>
        <w:t xml:space="preserve"> </w:t>
      </w:r>
      <w:r>
        <w:t xml:space="preserve">and request the</w:t>
      </w:r>
      <w:r>
        <w:t xml:space="preserve"> </w:t>
      </w:r>
      <w:r>
        <w:rPr>
          <w:rStyle w:val="VerbatimChar"/>
        </w:rPr>
        <w:t xml:space="preserve">https://graph.microsoft.us/.default</w:t>
      </w:r>
      <w:r>
        <w:t xml:space="preserve"> </w:t>
      </w:r>
      <w:r>
        <w:t xml:space="preserve">scope</w:t>
      </w:r>
      <w:r>
        <w:t xml:space="preserve"> </w:t>
      </w:r>
      <w:r>
        <w:t xml:space="preserve">(</w:t>
      </w:r>
      <w:hyperlink r:id="rId44">
        <w:r>
          <w:rPr>
            <w:rStyle w:val="Hyperlink"/>
          </w:rPr>
          <w:t xml:space="preserve">national clouds with the Graph SDKs</w:t>
        </w:r>
      </w:hyperlink>
      <w:r>
        <w:t xml:space="preserve">).</w:t>
      </w:r>
    </w:p>
    <w:bookmarkEnd w:id="45"/>
    <w:bookmarkEnd w:id="46"/>
    <w:bookmarkStart w:id="49" w:name="verify-emission"/>
    <w:p>
      <w:pPr>
        <w:pStyle w:val="Heading2"/>
      </w:pPr>
      <w:r>
        <w:t xml:space="preserve">Verify emission</w:t>
      </w:r>
    </w:p>
    <w:p>
      <w:pPr>
        <w:pStyle w:val="FirstParagraph"/>
      </w:pPr>
      <w:r>
        <w:t xml:space="preserve">Configuration succeeding is not emission succeeding. Run this against the</w:t>
      </w:r>
      <w:r>
        <w:t xml:space="preserve"> </w:t>
      </w:r>
      <w:r>
        <w:t xml:space="preserve">destination workspace 24 hours after the setting is created, and on a</w:t>
      </w:r>
      <w:r>
        <w:t xml:space="preserve"> </w:t>
      </w:r>
      <w:r>
        <w:t xml:space="preserve">schedule thereafter — every core table must return a non-zero</w:t>
      </w:r>
      <w:r>
        <w:t xml:space="preserve"> </w:t>
      </w:r>
      <w:r>
        <w:rPr>
          <w:rStyle w:val="VerbatimChar"/>
        </w:rPr>
        <w:t xml:space="preserve">RecordCount</w:t>
      </w:r>
      <w:r>
        <w:t xml:space="preserve"> </w:t>
      </w:r>
      <w:r>
        <w:t xml:space="preserve">with</w:t>
      </w:r>
      <w:r>
        <w:t xml:space="preserve"> </w:t>
      </w:r>
      <w:r>
        <w:rPr>
          <w:rStyle w:val="VerbatimChar"/>
        </w:rPr>
        <w:t xml:space="preserve">LastRecord</w:t>
      </w:r>
      <w:r>
        <w:t xml:space="preserve"> </w:t>
      </w:r>
      <w:r>
        <w:t xml:space="preserve">inside the last day.</w:t>
      </w:r>
    </w:p>
    <w:p>
      <w:pPr>
        <w:pStyle w:val="SourceCode"/>
      </w:pPr>
      <w:r>
        <w:rPr>
          <w:rStyle w:val="VerbatimChar"/>
        </w:rPr>
        <w:t xml:space="preserve">// Entra diagnostic-setting completeness.</w:t>
      </w:r>
      <w:r>
        <w:br/>
      </w:r>
      <w:r>
        <w:rPr>
          <w:rStyle w:val="VerbatimChar"/>
        </w:rPr>
        <w:t xml:space="preserve">// Pass criterion: every row returns RecordCount &gt; 0</w:t>
      </w:r>
      <w:r>
        <w:br/>
      </w:r>
      <w:r>
        <w:rPr>
          <w:rStyle w:val="VerbatimChar"/>
        </w:rPr>
        <w:t xml:space="preserve">// and LastRecord within the last 24h.</w:t>
      </w:r>
      <w:r>
        <w:br/>
      </w:r>
      <w:r>
        <w:rPr>
          <w:rStyle w:val="VerbatimChar"/>
        </w:rPr>
        <w:t xml:space="preserve">union withsource=TableName</w:t>
      </w:r>
      <w:r>
        <w:br/>
      </w:r>
      <w:r>
        <w:rPr>
          <w:rStyle w:val="VerbatimChar"/>
        </w:rPr>
        <w:t xml:space="preserve">    SigninLogs,</w:t>
      </w:r>
      <w:r>
        <w:br/>
      </w:r>
      <w:r>
        <w:rPr>
          <w:rStyle w:val="VerbatimChar"/>
        </w:rPr>
        <w:t xml:space="preserve">    AADNonInteractiveUserSignInLogs,</w:t>
      </w:r>
      <w:r>
        <w:br/>
      </w:r>
      <w:r>
        <w:rPr>
          <w:rStyle w:val="VerbatimChar"/>
        </w:rPr>
        <w:t xml:space="preserve">    AADServicePrincipalSignInLogs,</w:t>
      </w:r>
      <w:r>
        <w:br/>
      </w:r>
      <w:r>
        <w:rPr>
          <w:rStyle w:val="VerbatimChar"/>
        </w:rPr>
        <w:t xml:space="preserve">    AADManagedIdentitySignInLogs,</w:t>
      </w:r>
      <w:r>
        <w:br/>
      </w:r>
      <w:r>
        <w:rPr>
          <w:rStyle w:val="VerbatimChar"/>
        </w:rPr>
        <w:t xml:space="preserve">    AuditLogs,</w:t>
      </w:r>
      <w:r>
        <w:br/>
      </w:r>
      <w:r>
        <w:rPr>
          <w:rStyle w:val="VerbatimChar"/>
        </w:rPr>
        <w:t xml:space="preserve">    AADProvisioningLogs,</w:t>
      </w:r>
      <w:r>
        <w:br/>
      </w:r>
      <w:r>
        <w:rPr>
          <w:rStyle w:val="VerbatimChar"/>
        </w:rPr>
        <w:t xml:space="preserve">    MicrosoftGraphActivityLogs,</w:t>
      </w:r>
      <w:r>
        <w:br/>
      </w:r>
      <w:r>
        <w:rPr>
          <w:rStyle w:val="VerbatimChar"/>
        </w:rPr>
        <w:t xml:space="preserve">    AADRiskyUsers,</w:t>
      </w:r>
      <w:r>
        <w:br/>
      </w:r>
      <w:r>
        <w:rPr>
          <w:rStyle w:val="VerbatimChar"/>
        </w:rPr>
        <w:t xml:space="preserve">    AADUserRiskEvents</w:t>
      </w:r>
      <w:r>
        <w:br/>
      </w:r>
      <w:r>
        <w:rPr>
          <w:rStyle w:val="VerbatimChar"/>
        </w:rPr>
        <w:t xml:space="preserve">| summarize RecordCount = count, LastRecord = max(TimeGenerated) by TableName</w:t>
      </w:r>
      <w:r>
        <w:br/>
      </w:r>
      <w:r>
        <w:rPr>
          <w:rStyle w:val="VerbatimChar"/>
        </w:rPr>
        <w:t xml:space="preserve">| extend Stale = LastRecord &lt; ago(24h)</w:t>
      </w:r>
      <w:r>
        <w:br/>
      </w:r>
      <w:r>
        <w:rPr>
          <w:rStyle w:val="VerbatimChar"/>
        </w:rPr>
        <w:t xml:space="preserve">| order by Stale desc, TableName asc</w:t>
      </w:r>
    </w:p>
    <w:p>
      <w:pPr>
        <w:pStyle w:val="FirstParagraph"/>
      </w:pPr>
      <w:r>
        <w:t xml:space="preserve">A table that is</w:t>
      </w:r>
      <w:r>
        <w:t xml:space="preserve"> </w:t>
      </w:r>
      <w:r>
        <w:rPr>
          <w:b/>
          <w:bCs/>
        </w:rPr>
        <w:t xml:space="preserve">absent from the result entirely</w:t>
      </w:r>
      <w:r>
        <w:t xml:space="preserve"> </w:t>
      </w:r>
      <w:r>
        <w:t xml:space="preserve">has never received data —</w:t>
      </w:r>
      <w:r>
        <w:t xml:space="preserve"> </w:t>
      </w:r>
      <w:r>
        <w:t xml:space="preserve">that category was never enabled, or was enabled against a different</w:t>
      </w:r>
      <w:r>
        <w:t xml:space="preserve"> </w:t>
      </w:r>
      <w:r>
        <w:t xml:space="preserve">workspace. A table present but</w:t>
      </w:r>
      <w:r>
        <w:t xml:space="preserve"> </w:t>
      </w:r>
      <w:r>
        <w:rPr>
          <w:rStyle w:val="VerbatimChar"/>
        </w:rPr>
        <w:t xml:space="preserve">Stale</w:t>
      </w:r>
      <w:r>
        <w:t xml:space="preserve"> </w:t>
      </w:r>
      <w:r>
        <w:t xml:space="preserve">means emission stopped, which is the</w:t>
      </w:r>
      <w:r>
        <w:t xml:space="preserve"> </w:t>
      </w:r>
      <w:r>
        <w:t xml:space="preserve">more dangerous condition because the historical data masks it on any query</w:t>
      </w:r>
      <w:r>
        <w:t xml:space="preserve"> </w:t>
      </w:r>
      <w:r>
        <w:t xml:space="preserve">with a wide time range.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CC1914"/>
          <w:left w:val="single" w:sz="24" w:space="0" w:color="CC1914"/>
          <w:bottom w:val="single" w:sz="4" w:space="0" w:color="CC1914"/>
          <w:right w:val="single" w:sz="4" w:space="0" w:color="CC1914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f7dddc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important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This query is canon, not an example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The substrate ships this check as</w:t>
            </w:r>
            <w:r>
              <w:t xml:space="preserve"> </w:t>
            </w:r>
            <w:r>
              <w:t xml:space="preserve">[</w:t>
            </w:r>
            <w:r>
              <w:rPr>
                <w:rStyle w:val="VerbatimChar"/>
              </w:rPr>
              <w:t xml:space="preserve">01-entra-diagnostic-completeness.kql</w:t>
            </w:r>
            <w:r>
              <w:t xml:space="preserve">],</w:t>
            </w:r>
            <w:r>
              <w:t xml:space="preserve"> </w:t>
            </w:r>
            <w:r>
              <w:t xml:space="preserve">executed by the GCC Boundary Probe adapter, which emits per-symptom</w:t>
            </w:r>
            <w:r>
              <w:t xml:space="preserve"> </w:t>
            </w:r>
            <w:r>
              <w:rPr>
                <w:rStyle w:val="VerbatimChar"/>
              </w:rPr>
              <w:t xml:space="preserve">DRIFT-BOUNDARY</w:t>
            </w:r>
            <w:r>
              <w:t xml:space="preserve"> </w:t>
            </w:r>
            <w:r>
              <w:t xml:space="preserve">findings. The version above adds</w:t>
            </w:r>
            <w:r>
              <w:t xml:space="preserve"> </w:t>
            </w:r>
            <w:r>
              <w:rPr>
                <w:rStyle w:val="VerbatimChar"/>
              </w:rPr>
              <w:t xml:space="preserve">MicrosoftGraphActivityLogs</w:t>
            </w:r>
            <w:r>
              <w:t xml:space="preserve"> </w:t>
            </w:r>
            <w:r>
              <w:t xml:space="preserve">and the explicit staleness flag. Treat the</w:t>
            </w:r>
            <w:r>
              <w:t xml:space="preserve"> </w:t>
            </w:r>
            <w:r>
              <w:t xml:space="preserve">committed</w:t>
            </w:r>
            <w:r>
              <w:t xml:space="preserve"> </w:t>
            </w:r>
            <w:r>
              <w:rPr>
                <w:rStyle w:val="VerbatimChar"/>
              </w:rPr>
              <w:t xml:space="preserve">.kql</w:t>
            </w:r>
            <w:r>
              <w:t xml:space="preserve"> </w:t>
            </w:r>
            <w:r>
              <w:t xml:space="preserve">as the source of truth and this page as its narrative</w:t>
            </w:r>
            <w:r>
              <w:t xml:space="preserve"> </w:t>
            </w:r>
            <w:r>
              <w:t xml:space="preserve">explanation.</w:t>
            </w:r>
          </w:p>
          <w:p/>
        </w:tc>
      </w:tr>
    </w:tbl>
    <w:bookmarkEnd w:id="49"/>
    <w:bookmarkStart w:id="51" w:name="sentinel-data-connector"/>
    <w:p>
      <w:pPr>
        <w:pStyle w:val="Heading2"/>
      </w:pPr>
      <w:r>
        <w:t xml:space="preserve">Sentinel data connector</w:t>
      </w:r>
    </w:p>
    <w:p>
      <w:pPr>
        <w:pStyle w:val="FirstParagraph"/>
      </w:pPr>
      <w:r>
        <w:t xml:space="preserve">If the destination workspace is Microsoft Sentinel, the</w:t>
      </w:r>
      <w:r>
        <w:t xml:space="preserve"> </w:t>
      </w:r>
      <w:r>
        <w:rPr>
          <w:b/>
          <w:bCs/>
        </w:rPr>
        <w:t xml:space="preserve">Microsoft Entra ID</w:t>
      </w:r>
      <w:r>
        <w:t xml:space="preserve"> </w:t>
      </w:r>
      <w:r>
        <w:t xml:space="preserve">data connector surfaces the same categories through the connector UI rather</w:t>
      </w:r>
      <w:r>
        <w:t xml:space="preserve"> </w:t>
      </w:r>
      <w:r>
        <w:t xml:space="preserve">than the Entra diagnostic-settings blade. They write to the same tables;</w:t>
      </w:r>
      <w:r>
        <w:t xml:space="preserve"> </w:t>
      </w:r>
      <w:r>
        <w:t xml:space="preserve">enabling both does not duplicate data. Connector setup, expected EPS at</w:t>
      </w:r>
      <w:r>
        <w:t xml:space="preserve"> </w:t>
      </w:r>
      <w:r>
        <w:t xml:space="preserve">5,000 users, and the detection rules built on these tables are covered in</w:t>
      </w:r>
      <w:r>
        <w:t xml:space="preserve"> </w:t>
      </w:r>
      <w:hyperlink r:id="rId50">
        <w:r>
          <w:rPr>
            <w:rStyle w:val="Hyperlink"/>
          </w:rPr>
          <w:t xml:space="preserve">Vol III Book 06 §Connector: Entra ID</w:t>
        </w:r>
      </w:hyperlink>
      <w:r>
        <w:t xml:space="preserve">.</w:t>
      </w:r>
    </w:p>
    <w:bookmarkEnd w:id="51"/>
    <w:bookmarkStart w:id="54" w:name="what-this-page-does-not-cover"/>
    <w:p>
      <w:pPr>
        <w:pStyle w:val="Heading2"/>
      </w:pPr>
      <w:r>
        <w:t xml:space="preserve">What this page does not cover</w:t>
      </w:r>
    </w:p>
    <w:p>
      <w:pPr>
        <w:pStyle w:val="FirstParagraph"/>
      </w:pPr>
      <w:r>
        <w:t xml:space="preserve">Entra diagnostic settings emit</w:t>
      </w:r>
      <w:r>
        <w:t xml:space="preserve"> </w:t>
      </w:r>
      <w:r>
        <w:rPr>
          <w:b/>
          <w:bCs/>
        </w:rPr>
        <w:t xml:space="preserve">identity</w:t>
      </w:r>
      <w:r>
        <w:t xml:space="preserve"> </w:t>
      </w:r>
      <w:r>
        <w:t xml:space="preserve">events. They do not emit Azure</w:t>
      </w:r>
      <w:r>
        <w:t xml:space="preserve"> </w:t>
      </w:r>
      <w:r>
        <w:t xml:space="preserve">resource activity (see</w:t>
      </w:r>
      <w:r>
        <w:t xml:space="preserve"> </w:t>
      </w:r>
      <w:hyperlink r:id="rId52">
        <w:r>
          <w:rPr>
            <w:rStyle w:val="Hyperlink"/>
          </w:rPr>
          <w:t xml:space="preserve">Azure platform</w:t>
        </w:r>
      </w:hyperlink>
      <w:r>
        <w:t xml:space="preserve">) and they do</w:t>
      </w:r>
      <w:r>
        <w:t xml:space="preserve"> </w:t>
      </w:r>
      <w:r>
        <w:t xml:space="preserve">not emit the Microsoft 365 unified audit log (see</w:t>
      </w:r>
      <w:r>
        <w:t xml:space="preserve"> </w:t>
      </w:r>
      <w:hyperlink r:id="rId53">
        <w:r>
          <w:rPr>
            <w:rStyle w:val="Hyperlink"/>
          </w:rPr>
          <w:t xml:space="preserve">M365 unified audit</w:t>
        </w:r>
      </w:hyperlink>
      <w:r>
        <w:t xml:space="preserve">). Nor do they recover the</w:t>
      </w:r>
      <w:r>
        <w:t xml:space="preserve"> </w:t>
      </w:r>
      <w:r>
        <w:t xml:space="preserve">26 telemetry signals the FedRAMP Moderate boundary blocks outright — that</w:t>
      </w:r>
      <w:r>
        <w:t xml:space="preserve"> </w:t>
      </w:r>
      <w:r>
        <w:t xml:space="preserve">accounting is in</w:t>
      </w:r>
      <w:r>
        <w:t xml:space="preserve"> </w:t>
      </w:r>
      <w:r>
        <w:t xml:space="preserve">B.1.3 - Rebuilding Boundary-Blocked Analytics.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image" Id="rId24" Target="media/rId24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hyperlink" Id="rId50" Target="../../compliance/Vol_III_Book_06_SIEM_XDR_Detection.md" TargetMode="External" /><Relationship Type="http://schemas.openxmlformats.org/officeDocument/2006/relationships/hyperlink" Id="rId52" Target="02-azure-platform.md" TargetMode="External" /><Relationship Type="http://schemas.openxmlformats.org/officeDocument/2006/relationships/hyperlink" Id="rId53" Target="03-m365-unified-audit.md" TargetMode="External" /><Relationship Type="http://schemas.openxmlformats.org/officeDocument/2006/relationships/hyperlink" Id="rId22" Target="https://entra.microsoft.com" TargetMode="External" /><Relationship Type="http://schemas.openxmlformats.org/officeDocument/2006/relationships/hyperlink" Id="rId32" Target="https://learn.microsoft.com/azure/data-factory/monitor-logs-rest#enable-diagnostic-logs-via-the-monitor-rest-api" TargetMode="External" /><Relationship Type="http://schemas.openxmlformats.org/officeDocument/2006/relationships/hyperlink" Id="rId12" Target="https://learn.microsoft.com/azure/sentinel/connect-azure-active-directory#microsoft-entra-id-data-connector-data-types" TargetMode="External" /><Relationship Type="http://schemas.openxmlformats.org/officeDocument/2006/relationships/hyperlink" Id="rId28" Target="https://learn.microsoft.com/azure/templates/microsoft.aadiam/2017-04-01/diagnosticsettings" TargetMode="External" /><Relationship Type="http://schemas.openxmlformats.org/officeDocument/2006/relationships/hyperlink" Id="rId13" Target="https://learn.microsoft.com/entra/id-protection/howto-export-risk-data#log-analytics" TargetMode="External" /><Relationship Type="http://schemas.openxmlformats.org/officeDocument/2006/relationships/hyperlink" Id="rId9" Target="https://learn.microsoft.com/entra/identity/monitoring-health/concept-diagnostic-settings-logs-options" TargetMode="External" /><Relationship Type="http://schemas.openxmlformats.org/officeDocument/2006/relationships/hyperlink" Id="rId37" Target="https://learn.microsoft.com/entra/identity/monitoring-health/howto-analyze-activity-logs-with-microsoft-graph#access-reports-using-microsoft-graph-explorer" TargetMode="External" /><Relationship Type="http://schemas.openxmlformats.org/officeDocument/2006/relationships/hyperlink" Id="rId23" Target="https://learn.microsoft.com/entra/identity/monitoring-health/howto-configure-diagnostic-settings#select-the-logs-and-destination" TargetMode="External" /><Relationship Type="http://schemas.openxmlformats.org/officeDocument/2006/relationships/hyperlink" Id="rId10" Target="https://learn.microsoft.com/entra/identity/monitoring-health/reference-reports-data-retention#how-long-does-microsoft-entra-id-store-the-data" TargetMode="External" /><Relationship Type="http://schemas.openxmlformats.org/officeDocument/2006/relationships/hyperlink" Id="rId38" Target="https://learn.microsoft.com/graph/api/directoryaudit-list?view=graph-rest-1.0" TargetMode="External" /><Relationship Type="http://schemas.openxmlformats.org/officeDocument/2006/relationships/hyperlink" Id="rId39" Target="https://learn.microsoft.com/graph/api/signin-list?view=graph-rest-1.0#permissions" TargetMode="External" /><Relationship Type="http://schemas.openxmlformats.org/officeDocument/2006/relationships/hyperlink" Id="rId44" Target="https://learn.microsoft.com/graph/sdks/national-clouds#exampl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0" Target="../../compliance/Vol_III_Book_06_SIEM_XDR_Detection.md" TargetMode="External" /><Relationship Type="http://schemas.openxmlformats.org/officeDocument/2006/relationships/hyperlink" Id="rId52" Target="02-azure-platform.md" TargetMode="External" /><Relationship Type="http://schemas.openxmlformats.org/officeDocument/2006/relationships/hyperlink" Id="rId53" Target="03-m365-unified-audit.md" TargetMode="External" /><Relationship Type="http://schemas.openxmlformats.org/officeDocument/2006/relationships/hyperlink" Id="rId22" Target="https://entra.microsoft.com" TargetMode="External" /><Relationship Type="http://schemas.openxmlformats.org/officeDocument/2006/relationships/hyperlink" Id="rId32" Target="https://learn.microsoft.com/azure/data-factory/monitor-logs-rest#enable-diagnostic-logs-via-the-monitor-rest-api" TargetMode="External" /><Relationship Type="http://schemas.openxmlformats.org/officeDocument/2006/relationships/hyperlink" Id="rId12" Target="https://learn.microsoft.com/azure/sentinel/connect-azure-active-directory#microsoft-entra-id-data-connector-data-types" TargetMode="External" /><Relationship Type="http://schemas.openxmlformats.org/officeDocument/2006/relationships/hyperlink" Id="rId28" Target="https://learn.microsoft.com/azure/templates/microsoft.aadiam/2017-04-01/diagnosticsettings" TargetMode="External" /><Relationship Type="http://schemas.openxmlformats.org/officeDocument/2006/relationships/hyperlink" Id="rId13" Target="https://learn.microsoft.com/entra/id-protection/howto-export-risk-data#log-analytics" TargetMode="External" /><Relationship Type="http://schemas.openxmlformats.org/officeDocument/2006/relationships/hyperlink" Id="rId9" Target="https://learn.microsoft.com/entra/identity/monitoring-health/concept-diagnostic-settings-logs-options" TargetMode="External" /><Relationship Type="http://schemas.openxmlformats.org/officeDocument/2006/relationships/hyperlink" Id="rId37" Target="https://learn.microsoft.com/entra/identity/monitoring-health/howto-analyze-activity-logs-with-microsoft-graph#access-reports-using-microsoft-graph-explorer" TargetMode="External" /><Relationship Type="http://schemas.openxmlformats.org/officeDocument/2006/relationships/hyperlink" Id="rId23" Target="https://learn.microsoft.com/entra/identity/monitoring-health/howto-configure-diagnostic-settings#select-the-logs-and-destination" TargetMode="External" /><Relationship Type="http://schemas.openxmlformats.org/officeDocument/2006/relationships/hyperlink" Id="rId10" Target="https://learn.microsoft.com/entra/identity/monitoring-health/reference-reports-data-retention#how-long-does-microsoft-entra-id-store-the-data" TargetMode="External" /><Relationship Type="http://schemas.openxmlformats.org/officeDocument/2006/relationships/hyperlink" Id="rId38" Target="https://learn.microsoft.com/graph/api/directoryaudit-list?view=graph-rest-1.0" TargetMode="External" /><Relationship Type="http://schemas.openxmlformats.org/officeDocument/2006/relationships/hyperlink" Id="rId39" Target="https://learn.microsoft.com/graph/api/signin-list?view=graph-rest-1.0#permissions" TargetMode="External" /><Relationship Type="http://schemas.openxmlformats.org/officeDocument/2006/relationships/hyperlink" Id="rId44" Target="https://learn.microsoft.com/graph/sdks/national-clouds#exampl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 Microsoft Entra ID — Identity Telemetry Emission</dc:title>
  <dc:creator>Michael Stratton</dc:creator>
  <cp:keywords/>
  <dcterms:created xsi:type="dcterms:W3CDTF">2026-10-19T10:11:22Z</dcterms:created>
  <dcterms:modified xsi:type="dcterms:W3CDTF">2026-10-19T10:11:22Z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dience">
    <vt:lpwstr/>
  </property>
  <property fmtid="{D5CDD505-2E9C-101B-9397-08002B2CF9AE}" pid="3" name="authors">
    <vt:lpwstr/>
  </property>
  <property fmtid="{D5CDD505-2E9C-101B-9397-08002B2CF9AE}" pid="4" name="biblio-config">
    <vt:lpwstr>True</vt:lpwstr>
  </property>
  <property fmtid="{D5CDD505-2E9C-101B-9397-08002B2CF9AE}" pid="5" name="by-author">
    <vt:lpwstr/>
  </property>
  <property fmtid="{D5CDD505-2E9C-101B-9397-08002B2CF9AE}" pid="6" name="canon-source">
    <vt:lpwstr>src/fmp/canon/adapter-registry.yaml#siem</vt:lpwstr>
  </property>
  <property fmtid="{D5CDD505-2E9C-101B-9397-08002B2CF9AE}" pid="7" name="created-at">
    <vt:lpwstr>2026-08-27</vt:lpwstr>
  </property>
  <property fmtid="{D5CDD505-2E9C-101B-9397-08002B2CF9AE}" pid="8" name="date">
    <vt:lpwstr>2026-08-01</vt:lpwstr>
  </property>
  <property fmtid="{D5CDD505-2E9C-101B-9397-08002B2CF9AE}" pid="9" name="derived-from">
    <vt:lpwstr>Microsoft Learn product documentation, linked inline per claim.</vt:lpwstr>
  </property>
  <property fmtid="{D5CDD505-2E9C-101B-9397-08002B2CF9AE}" pid="10" name="doc-type">
    <vt:lpwstr>operational-guide</vt:lpwstr>
  </property>
  <property fmtid="{D5CDD505-2E9C-101B-9397-08002B2CF9AE}" pid="11" name="header-includes">
    <vt:lpwstr/>
  </property>
  <property fmtid="{D5CDD505-2E9C-101B-9397-08002B2CF9AE}" pid="12" name="include-after">
    <vt:lpwstr/>
  </property>
  <property fmtid="{D5CDD505-2E9C-101B-9397-08002B2CF9AE}" pid="13" name="include-before">
    <vt:lpwstr/>
  </property>
  <property fmtid="{D5CDD505-2E9C-101B-9397-08002B2CF9AE}" pid="14" name="labels">
    <vt:lpwstr/>
  </property>
  <property fmtid="{D5CDD505-2E9C-101B-9397-08002B2CF9AE}" pid="15" name="lifecycle">
    <vt:lpwstr>adopted</vt:lpwstr>
  </property>
  <property fmtid="{D5CDD505-2E9C-101B-9397-08002B2CF9AE}" pid="16" name="lifecycle_review">
    <vt:lpwstr>2027-02-27</vt:lpwstr>
  </property>
  <property fmtid="{D5CDD505-2E9C-101B-9397-08002B2CF9AE}" pid="17" name="repo-path">
    <vt:lpwstr>docs/customer-documents/operational-guides/siem-telemetry-emission/01-entra-id.qmd</vt:lpwstr>
  </property>
  <property fmtid="{D5CDD505-2E9C-101B-9397-08002B2CF9AE}" pid="18" name="status">
    <vt:lpwstr>Active</vt:lpwstr>
  </property>
  <property fmtid="{D5CDD505-2E9C-101B-9397-08002B2CF9AE}" pid="19" name="subtitle">
    <vt:lpwstr>Portal click-path, tenant-scope ARM/Bicep, and az rest for Entra diagnostic settings; Microsoft Graph auditLogs for targeted evidence pulls</vt:lpwstr>
  </property>
  <property fmtid="{D5CDD505-2E9C-101B-9397-08002B2CF9AE}" pid="20" name="tiers_adopted">
    <vt:lpwstr/>
  </property>
  <property fmtid="{D5CDD505-2E9C-101B-9397-08002B2CF9AE}" pid="21" name="toc-title">
    <vt:lpwstr>Table of contents</vt:lpwstr>
  </property>
  <property fmtid="{D5CDD505-2E9C-101B-9397-08002B2CF9AE}" pid="22" name="updated-at">
    <vt:lpwstr>2026-08-27</vt:lpwstr>
  </property>
</Properties>
</file>