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24.png" ContentType="image/png"/>
  <Override PartName="/word/media/rId11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 Azure Platform — Activity Log and Resource Log Emission</w:t>
      </w:r>
    </w:p>
    <w:p>
      <w:pPr>
        <w:pStyle w:val="Subtitle"/>
      </w:pPr>
      <w:r>
        <w:t xml:space="preserve">Subscription-scope activity log export, per-resource diagnostic settings, and Azure Policy enforcement so new resources cannot be born silent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2026-08-01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2" w:name="Xe77cff17199e4693e9e92ba8790c2de8f61a514"/>
    <w:p>
      <w:pPr>
        <w:pStyle w:val="Heading1"/>
      </w:pPr>
      <w:r>
        <w:t xml:space="preserve">Azure Platform — Activity Log and Resource Log Emission</w:t>
      </w:r>
    </w:p>
    <w:p>
      <w:pPr>
        <w:pStyle w:val="FirstParagraph"/>
      </w:pPr>
      <w:r>
        <w:t xml:space="preserve">Azure emits on two distinct planes, and both are required for AU-2 coverage of</w:t>
      </w:r>
      <w:r>
        <w:t xml:space="preserve"> </w:t>
      </w:r>
      <w:r>
        <w:t xml:space="preserve">the Azure estate.</w:t>
      </w:r>
    </w:p>
    <w:p>
      <w:pPr>
        <w:pStyle w:val="BodyText"/>
      </w:pPr>
      <w:r>
        <w:rPr>
          <w:b/>
          <w:bCs/>
        </w:rPr>
        <w:t xml:space="preserve">Control plane — the activity log.</w:t>
      </w:r>
      <w:r>
        <w:t xml:space="preserve"> </w:t>
      </w:r>
      <w:r>
        <w:t xml:space="preserve">Every create, update, delete, and action</w:t>
      </w:r>
      <w:r>
        <w:t xml:space="preserve"> </w:t>
      </w:r>
      <w:r>
        <w:t xml:space="preserve">executed through Azure Resource Manager, plus policy evaluations, Defender for</w:t>
      </w:r>
      <w:r>
        <w:t xml:space="preserve"> </w:t>
      </w:r>
      <w:r>
        <w:t xml:space="preserve">Cloud alerts, and service/resource health. One diagnostic setting per</w:t>
      </w:r>
      <w:r>
        <w:t xml:space="preserve"> </w:t>
      </w:r>
      <w:r>
        <w:t xml:space="preserve">subscription. This is</w:t>
      </w:r>
      <w:r>
        <w:t xml:space="preserve"> </w:t>
      </w:r>
      <w:r>
        <w:rPr>
          <w:i/>
          <w:iCs/>
        </w:rPr>
        <w:t xml:space="preserve">who changed what</w:t>
      </w:r>
      <w:r>
        <w:t xml:space="preserve"> </w:t>
      </w:r>
      <w:r>
        <w:t xml:space="preserve">in the estate.</w:t>
      </w:r>
    </w:p>
    <w:p>
      <w:pPr>
        <w:pStyle w:val="BodyText"/>
      </w:pPr>
      <w:r>
        <w:rPr>
          <w:b/>
          <w:bCs/>
        </w:rPr>
        <w:t xml:space="preserve">Resource plane — resource logs.</w:t>
      </w:r>
      <w:r>
        <w:t xml:space="preserve"> </w:t>
      </w:r>
      <w:r>
        <w:t xml:space="preserve">What happens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a resource: Key Vault</w:t>
      </w:r>
      <w:r>
        <w:t xml:space="preserve"> </w:t>
      </w:r>
      <w:r>
        <w:t xml:space="preserve">secret reads, storage-account data operations, SQL audit events, firewall</w:t>
      </w:r>
      <w:r>
        <w:t xml:space="preserve"> </w:t>
      </w:r>
      <w:r>
        <w:t xml:space="preserve">flows. One diagnostic setting per resource, per resource type, with</w:t>
      </w:r>
      <w:r>
        <w:t xml:space="preserve"> </w:t>
      </w:r>
      <w:r>
        <w:t xml:space="preserve">type-specific categories.</w:t>
      </w:r>
    </w:p>
    <w:p>
      <w:pPr>
        <w:pStyle w:val="BodyText"/>
      </w:pPr>
      <w:r>
        <w:t xml:space="preserve">An agency that has configured only the activity log can prove a Key Vault was</w:t>
      </w:r>
      <w:r>
        <w:t xml:space="preserve"> </w:t>
      </w:r>
      <w:r>
        <w:t xml:space="preserve">created and cannot prove which secrets were read out of it.</w:t>
      </w:r>
    </w:p>
    <w:bookmarkStart w:id="28" w:name="part-1-activity-log"/>
    <w:p>
      <w:pPr>
        <w:pStyle w:val="Heading2"/>
      </w:pPr>
      <w:r>
        <w:t xml:space="preserve">Part 1 — Activity log</w:t>
      </w:r>
    </w:p>
    <w:bookmarkStart w:id="14" w:name="categories"/>
    <w:p>
      <w:pPr>
        <w:pStyle w:val="Heading3"/>
      </w:pPr>
      <w:r>
        <w:t xml:space="preserve">Categories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Contains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Administrative</w:t>
            </w:r>
          </w:p>
        </w:tc>
        <w:tc>
          <w:tcPr/>
          <w:p>
            <w:pPr>
              <w:pStyle w:val="Compact"/>
            </w:pPr>
            <w:r>
              <w:t xml:space="preserve">Every create / update / delete / action through Resource Manager,</w:t>
            </w:r>
            <w:r>
              <w:t xml:space="preserve"> </w:t>
            </w:r>
            <w:r>
              <w:rPr>
                <w:b/>
                <w:bCs/>
              </w:rPr>
              <w:t xml:space="preserve">including all Azure RBAC changes in the subscription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Alerts generated by Microsoft Defender for Cloud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Policy</w:t>
            </w:r>
          </w:p>
        </w:tc>
        <w:tc>
          <w:tcPr/>
          <w:p>
            <w:pPr>
              <w:pStyle w:val="Compact"/>
            </w:pPr>
            <w:r>
              <w:t xml:space="preserve">All effect-action operations by Azure Policy —</w:t>
            </w:r>
            <w:r>
              <w:t xml:space="preserve"> </w:t>
            </w:r>
            <w:r>
              <w:rPr>
                <w:rStyle w:val="VerbatimChar"/>
              </w:rPr>
              <w:t xml:space="preserve">Audit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ServiceHealth</w:t>
            </w:r>
          </w:p>
        </w:tc>
        <w:tc>
          <w:tcPr/>
          <w:p>
            <w:pPr>
              <w:pStyle w:val="Compact"/>
            </w:pPr>
            <w:r>
              <w:t xml:space="preserve">Azure service-health incidents affecting your resources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ResourceHealth</w:t>
            </w:r>
          </w:p>
        </w:tc>
        <w:tc>
          <w:tcPr/>
          <w:p>
            <w:pPr>
              <w:pStyle w:val="Compact"/>
            </w:pPr>
            <w:r>
              <w:t xml:space="preserve">Resource health-status transitions — Available, Unavailable, Degraded, Unknown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Alert</w:t>
            </w:r>
          </w:p>
        </w:tc>
        <w:tc>
          <w:tcPr/>
          <w:p>
            <w:pPr>
              <w:pStyle w:val="Compact"/>
            </w:pPr>
            <w:r>
              <w:t xml:space="preserve">Azure Monitor alert activations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Autoscale</w:t>
            </w:r>
          </w:p>
        </w:tc>
        <w:tc>
          <w:tcPr/>
          <w:p>
            <w:pPr>
              <w:pStyle w:val="Compact"/>
            </w:pPr>
            <w:r>
              <w:t xml:space="preserve">Autoscale engine operations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Recommendation</w:t>
            </w:r>
          </w:p>
        </w:tc>
        <w:tc>
          <w:tcPr/>
          <w:p>
            <w:pPr>
              <w:pStyle w:val="Compact"/>
            </w:pPr>
            <w:r>
              <w:t xml:space="preserve">Azure Advisor recommendations</w:t>
            </w:r>
          </w:p>
        </w:tc>
      </w:tr>
    </w:tbl>
    <w:p>
      <w:pPr>
        <w:pStyle w:val="BodyText"/>
      </w:pPr>
      <w:r>
        <w:t xml:space="preserve">Definitions from the</w:t>
      </w:r>
      <w:r>
        <w:t xml:space="preserve"> </w:t>
      </w:r>
      <w:hyperlink r:id="rId9">
        <w:r>
          <w:rPr>
            <w:rStyle w:val="Hyperlink"/>
          </w:rPr>
          <w:t xml:space="preserve">Azure Activity Log event schema</w:t>
        </w:r>
      </w:hyperlink>
      <w:r>
        <w:t xml:space="preserve">;</w:t>
      </w:r>
      <w:r>
        <w:t xml:space="preserve"> </w:t>
      </w:r>
      <w:r>
        <w:t xml:space="preserve">the enumerable list is confirmed by</w:t>
      </w:r>
      <w:r>
        <w:t xml:space="preserve"> </w:t>
      </w:r>
      <w:hyperlink r:id="rId10">
        <w:r>
          <w:rPr>
            <w:rStyle w:val="VerbatimChar"/>
          </w:rPr>
          <w:t xml:space="preserve">Get-AzEventCategory</w:t>
        </w:r>
      </w:hyperlink>
      <w:r>
        <w:t xml:space="preserve">.</w:t>
      </w:r>
    </w:p>
    <w:p>
      <w:pPr>
        <w:pStyle w:val="BodyText"/>
      </w:pPr>
      <w:r>
        <w:rPr>
          <w:rStyle w:val="VerbatimChar"/>
        </w:rPr>
        <w:t xml:space="preserve">Administrative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are the AU-2 / AU-12 core.</w:t>
      </w:r>
      <w:r>
        <w:t xml:space="preserve"> </w:t>
      </w:r>
      <w:r>
        <w:rPr>
          <w:rStyle w:val="VerbatimChar"/>
        </w:rPr>
        <w:t xml:space="preserve">Administrative</w:t>
      </w:r>
      <w:r>
        <w:t xml:space="preserve"> </w:t>
      </w:r>
      <w:r>
        <w:t xml:space="preserve">in particular carries RBAC changes, which is the AC-2 and</w:t>
      </w:r>
      <w:r>
        <w:t xml:space="preserve"> </w:t>
      </w:r>
      <w:r>
        <w:t xml:space="preserve">AC-6 evidence stream for the Azure estate — there is no separate RBAC audit</w:t>
      </w:r>
      <w:r>
        <w:t xml:space="preserve"> </w:t>
      </w:r>
      <w:r>
        <w:t xml:space="preserve">log to fall back 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Enable all eight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activity log is low-volume relative to resource logs and there is no</w:t>
            </w:r>
            <w:r>
              <w:t xml:space="preserve"> </w:t>
            </w:r>
            <w:r>
              <w:t xml:space="preserve">meaningful cost argument for selective enablement.</w:t>
            </w:r>
            <w:r>
              <w:t xml:space="preserve"> </w:t>
            </w:r>
            <w:r>
              <w:rPr>
                <w:rStyle w:val="VerbatimChar"/>
              </w:rPr>
              <w:t xml:space="preserve">ServiceHealth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ResourceHealth</w:t>
            </w:r>
            <w:r>
              <w:t xml:space="preserve"> </w:t>
            </w:r>
            <w:r>
              <w:t xml:space="preserve">in particular become valuable during incident</w:t>
            </w:r>
            <w:r>
              <w:t xml:space="preserve"> </w:t>
            </w:r>
            <w:r>
              <w:t xml:space="preserve">reconstruction, when you need to rule out a platform cause before attributing</w:t>
            </w:r>
            <w:r>
              <w:t xml:space="preserve"> </w:t>
            </w:r>
            <w:r>
              <w:t xml:space="preserve">an outage to an attack.</w:t>
            </w:r>
          </w:p>
          <w:p/>
        </w:tc>
      </w:tr>
    </w:tbl>
    <w:bookmarkEnd w:id="14"/>
    <w:bookmarkStart w:id="17" w:name="portal"/>
    <w:p>
      <w:pPr>
        <w:pStyle w:val="Heading3"/>
      </w:pPr>
      <w:r>
        <w:t xml:space="preserve">Portal</w:t>
      </w:r>
    </w:p>
    <w:p>
      <w:pPr>
        <w:pStyle w:val="Compact"/>
        <w:numPr>
          <w:ilvl w:val="0"/>
          <w:numId w:val="1001"/>
        </w:numPr>
      </w:pPr>
      <w:r>
        <w:t xml:space="preserve">In the</w:t>
      </w:r>
      <w:r>
        <w:t xml:space="preserve"> </w:t>
      </w:r>
      <w:hyperlink r:id="rId15">
        <w:r>
          <w:rPr>
            <w:rStyle w:val="Hyperlink"/>
          </w:rPr>
          <w:t xml:space="preserve">Azure portal</w:t>
        </w:r>
      </w:hyperlink>
      <w:r>
        <w:t xml:space="preserve">, open</w:t>
      </w:r>
      <w:r>
        <w:t xml:space="preserve"> </w:t>
      </w:r>
      <w:r>
        <w:rPr>
          <w:b/>
          <w:bCs/>
        </w:rPr>
        <w:t xml:space="preserve">Monitor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Activity 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Select</w:t>
      </w:r>
      <w:r>
        <w:t xml:space="preserve"> </w:t>
      </w:r>
      <w:r>
        <w:rPr>
          <w:b/>
          <w:bCs/>
        </w:rPr>
        <w:t xml:space="preserve">Export Activity Logs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Select the subscription, then</w:t>
      </w:r>
      <w:r>
        <w:t xml:space="preserve"> </w:t>
      </w:r>
      <w:r>
        <w:rPr>
          <w:b/>
          <w:bCs/>
        </w:rPr>
        <w:t xml:space="preserve">Add diagnostic setting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Name the setting, check all applicable categories, choose the destination.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Save</w:t>
      </w:r>
      <w:r>
        <w:t xml:space="preserve">.</w:t>
      </w:r>
    </w:p>
    <w:p>
      <w:pPr>
        <w:pStyle w:val="FirstParagraph"/>
      </w:pPr>
      <w:r>
        <w:t xml:space="preserve">Export typically begins within about</w:t>
      </w:r>
      <w:r>
        <w:t xml:space="preserve"> </w:t>
      </w:r>
      <w:r>
        <w:rPr>
          <w:b/>
          <w:bCs/>
        </w:rPr>
        <w:t xml:space="preserve">30 minutes</w:t>
      </w:r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configuring activity log export</w:t>
        </w:r>
      </w:hyperlink>
      <w:r>
        <w:t xml:space="preserve">).</w:t>
      </w:r>
    </w:p>
    <w:bookmarkEnd w:id="17"/>
    <w:bookmarkStart w:id="22" w:name="cli"/>
    <w:p>
      <w:pPr>
        <w:pStyle w:val="Heading3"/>
      </w:pPr>
      <w:r>
        <w:t xml:space="preserve">CLI</w:t>
      </w:r>
    </w:p>
    <w:p>
      <w:pPr>
        <w:pStyle w:val="FirstParagraph"/>
      </w:pPr>
      <w:r>
        <w:t xml:space="preserve">The activity log needs the</w:t>
      </w:r>
      <w:r>
        <w:t xml:space="preserve"> </w:t>
      </w:r>
      <w:r>
        <w:rPr>
          <w:b/>
          <w:bCs/>
        </w:rPr>
        <w:t xml:space="preserve">subscription</w:t>
      </w:r>
      <w:r>
        <w:t xml:space="preserve"> </w:t>
      </w:r>
      <w:r>
        <w:t xml:space="preserve">subcommand — the plain</w:t>
      </w:r>
      <w:r>
        <w:t xml:space="preserve"> </w:t>
      </w:r>
      <w:r>
        <w:rPr>
          <w:rStyle w:val="VerbatimChar"/>
        </w:rPr>
        <w:t xml:space="preserve">az monitor diagnostic-settings create</w:t>
      </w:r>
      <w:r>
        <w:t xml:space="preserve"> </w:t>
      </w:r>
      <w:r>
        <w:t xml:space="preserve">is resource-scoped and will not do it:</w:t>
      </w:r>
    </w:p>
    <w:p>
      <w:pPr>
        <w:pStyle w:val="SourceCode"/>
      </w:pPr>
      <w:r>
        <w:rPr>
          <w:rStyle w:val="ExtensionTok"/>
        </w:rPr>
        <w:t xml:space="preserve">az</w:t>
      </w:r>
      <w:r>
        <w:rPr>
          <w:rStyle w:val="NormalTok"/>
        </w:rPr>
        <w:t xml:space="preserve"> monitor diagnostic-settings subscription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"fmp-activity-log-export"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--location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"usgovvirginia"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--workspace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"/subscriptions/</w:t>
      </w:r>
      <w:r>
        <w:rPr>
          <w:rStyle w:val="VariableTok"/>
        </w:rPr>
        <w:t xml:space="preserve">${SUBSCRIPTION_ID}</w:t>
      </w:r>
      <w:r>
        <w:rPr>
          <w:rStyle w:val="StringTok"/>
        </w:rPr>
        <w:t xml:space="preserve">/resourceGroups/</w:t>
      </w:r>
      <w:r>
        <w:rPr>
          <w:rStyle w:val="VariableTok"/>
        </w:rPr>
        <w:t xml:space="preserve">${RG}</w:t>
      </w:r>
      <w:r>
        <w:rPr>
          <w:rStyle w:val="StringTok"/>
        </w:rPr>
        <w:t xml:space="preserve">/providers/Microsoft.OperationalInsights/workspaces/</w:t>
      </w:r>
      <w:r>
        <w:rPr>
          <w:rStyle w:val="VariableTok"/>
        </w:rPr>
        <w:t xml:space="preserve">${WORKSPACE}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--logs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</w:t>
      </w:r>
      <w:r>
        <w:br/>
      </w:r>
      <w:r>
        <w:rPr>
          <w:rStyle w:val="StringTok"/>
        </w:rPr>
        <w:t xml:space="preserve">    {"category": "Administrative",  "enabled": true},</w:t>
      </w:r>
      <w:r>
        <w:br/>
      </w:r>
      <w:r>
        <w:rPr>
          <w:rStyle w:val="StringTok"/>
        </w:rPr>
        <w:t xml:space="preserve">    {"category": "Security",        "enabled": true},</w:t>
      </w:r>
      <w:r>
        <w:br/>
      </w:r>
      <w:r>
        <w:rPr>
          <w:rStyle w:val="StringTok"/>
        </w:rPr>
        <w:t xml:space="preserve">    {"category": "Policy",          "enabled": true},</w:t>
      </w:r>
      <w:r>
        <w:br/>
      </w:r>
      <w:r>
        <w:rPr>
          <w:rStyle w:val="StringTok"/>
        </w:rPr>
        <w:t xml:space="preserve">    {"category": "ServiceHealth",   "enabled": true},</w:t>
      </w:r>
      <w:r>
        <w:br/>
      </w:r>
      <w:r>
        <w:rPr>
          <w:rStyle w:val="StringTok"/>
        </w:rPr>
        <w:t xml:space="preserve">    {"category": "ResourceHealth",  "enabled": true},</w:t>
      </w:r>
      <w:r>
        <w:br/>
      </w:r>
      <w:r>
        <w:rPr>
          <w:rStyle w:val="StringTok"/>
        </w:rPr>
        <w:t xml:space="preserve">    {"category": "Alert",           "enabled": true},</w:t>
      </w:r>
      <w:r>
        <w:br/>
      </w:r>
      <w:r>
        <w:rPr>
          <w:rStyle w:val="StringTok"/>
        </w:rPr>
        <w:t xml:space="preserve">    {"category": "Autoscale",       "enabled": true},</w:t>
      </w:r>
      <w:r>
        <w:br/>
      </w:r>
      <w:r>
        <w:rPr>
          <w:rStyle w:val="StringTok"/>
        </w:rPr>
        <w:t xml:space="preserve">    {"category": "Recommendation",  "enabled": true}</w:t>
      </w:r>
      <w:r>
        <w:br/>
      </w:r>
      <w:r>
        <w:rPr>
          <w:rStyle w:val="StringTok"/>
        </w:rPr>
        <w:t xml:space="preserve">  ]'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rPr>
                <w:rStyle w:val="VerbatimChar"/>
              </w:rPr>
              <w:t xml:space="preserve">New-AzDiagnosticSetting</w:t>
            </w:r>
            <w:r>
              <w:t xml:space="preserve"> </w:t>
            </w:r>
            <w:r>
              <w:t xml:space="preserve">cannot export the activity log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Microsoft states it plainly:</w:t>
            </w:r>
            <w:r>
              <w:t xml:space="preserve"> </w:t>
            </w:r>
            <w:r>
              <w:t xml:space="preserve">“You can’t use this method for an activity log.</w:t>
            </w:r>
            <w:r>
              <w:t xml:space="preserve"> </w:t>
            </w:r>
            <w:r>
              <w:t xml:space="preserve">Instead, create an Azure Resource Manager template and deploy it by using</w:t>
            </w:r>
            <w:r>
              <w:t xml:space="preserve"> </w:t>
            </w:r>
            <w:r>
              <w:t xml:space="preserve">PowerShell”</w:t>
            </w:r>
            <w:r>
              <w:t xml:space="preserve"> </w:t>
            </w:r>
            <w:r>
              <w:t xml:space="preserve">(</w:t>
            </w:r>
            <w:hyperlink r:id="rId21">
              <w:r>
                <w:rPr>
                  <w:rStyle w:val="Hyperlink"/>
                </w:rPr>
                <w:t xml:space="preserve">diagnostic settings in Azure Monitor</w:t>
              </w:r>
            </w:hyperlink>
            <w:r>
              <w:t xml:space="preserve">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PowerShell-first shops routinely write a</w:t>
            </w:r>
            <w:r>
              <w:t xml:space="preserve"> </w:t>
            </w:r>
            <w:r>
              <w:rPr>
                <w:rStyle w:val="VerbatimChar"/>
              </w:rPr>
              <w:t xml:space="preserve">New-AzDiagnosticSetting</w:t>
            </w:r>
            <w:r>
              <w:t xml:space="preserve"> </w:t>
            </w:r>
            <w:r>
              <w:t xml:space="preserve">call for</w:t>
            </w:r>
            <w:r>
              <w:t xml:space="preserve"> </w:t>
            </w:r>
            <w:r>
              <w:t xml:space="preserve">the activity log, see it fail or silently no-op, and conclude the activity log</w:t>
            </w:r>
            <w:r>
              <w:t xml:space="preserve"> </w:t>
            </w:r>
            <w:r>
              <w:t xml:space="preserve">“doesn’t support export.”</w:t>
            </w:r>
            <w:r>
              <w:t xml:space="preserve"> </w:t>
            </w:r>
            <w:r>
              <w:t xml:space="preserve">Use</w:t>
            </w:r>
            <w:r>
              <w:t xml:space="preserve"> </w:t>
            </w:r>
            <w:r>
              <w:rPr>
                <w:rStyle w:val="VerbatimChar"/>
              </w:rPr>
              <w:t xml:space="preserve">az monitor diagnostic-settings subscription create</w:t>
            </w:r>
            <w:r>
              <w:t xml:space="preserve">, or a subscription-scope ARM/Bicep deployment.</w:t>
            </w:r>
          </w:p>
          <w:p/>
        </w:tc>
      </w:tr>
    </w:tbl>
    <w:bookmarkEnd w:id="22"/>
    <w:bookmarkStart w:id="27" w:name="bicep-at-subscription-scope"/>
    <w:p>
      <w:pPr>
        <w:pStyle w:val="Heading3"/>
      </w:pPr>
      <w:r>
        <w:t xml:space="preserve">Bicep at subscription scope</w:t>
      </w:r>
    </w:p>
    <w:p>
      <w:pPr>
        <w:pStyle w:val="SourceCode"/>
      </w:pPr>
      <w:r>
        <w:rPr>
          <w:rStyle w:val="VerbatimChar"/>
        </w:rPr>
        <w:t xml:space="preserve">// activity-log-export.bicep</w:t>
      </w:r>
      <w:r>
        <w:br/>
      </w:r>
      <w:r>
        <w:rPr>
          <w:rStyle w:val="VerbatimChar"/>
        </w:rPr>
        <w:t xml:space="preserve">// az deployment sub create --location &lt;region&gt; --template-file activity-log-export.bicep</w:t>
      </w:r>
      <w:r>
        <w:br/>
      </w:r>
      <w:r>
        <w:rPr>
          <w:rStyle w:val="VerbatimChar"/>
        </w:rPr>
        <w:t xml:space="preserve">targetScope = 'subscription'</w:t>
      </w:r>
      <w:r>
        <w:br/>
      </w:r>
      <w:r>
        <w:br/>
      </w:r>
      <w:r>
        <w:rPr>
          <w:rStyle w:val="VerbatimChar"/>
        </w:rPr>
        <w:t xml:space="preserve">param workspaceId string</w:t>
      </w:r>
      <w:r>
        <w:br/>
      </w:r>
      <w:r>
        <w:rPr>
          <w:rStyle w:val="VerbatimChar"/>
        </w:rPr>
        <w:t xml:space="preserve">param settingName string = 'fmp-activity-log-export'</w:t>
      </w:r>
      <w:r>
        <w:br/>
      </w:r>
      <w:r>
        <w:br/>
      </w:r>
      <w:r>
        <w:rPr>
          <w:rStyle w:val="VerbatimChar"/>
        </w:rPr>
        <w:t xml:space="preserve">var categories = [</w:t>
      </w:r>
      <w:r>
        <w:br/>
      </w:r>
      <w:r>
        <w:rPr>
          <w:rStyle w:val="VerbatimChar"/>
        </w:rPr>
        <w:t xml:space="preserve">  'Administrative'</w:t>
      </w:r>
      <w:r>
        <w:br/>
      </w:r>
      <w:r>
        <w:rPr>
          <w:rStyle w:val="VerbatimChar"/>
        </w:rPr>
        <w:t xml:space="preserve">  'Security'</w:t>
      </w:r>
      <w:r>
        <w:br/>
      </w:r>
      <w:r>
        <w:rPr>
          <w:rStyle w:val="VerbatimChar"/>
        </w:rPr>
        <w:t xml:space="preserve">  'Policy'</w:t>
      </w:r>
      <w:r>
        <w:br/>
      </w:r>
      <w:r>
        <w:rPr>
          <w:rStyle w:val="VerbatimChar"/>
        </w:rPr>
        <w:t xml:space="preserve">  'ServiceHealth'</w:t>
      </w:r>
      <w:r>
        <w:br/>
      </w:r>
      <w:r>
        <w:rPr>
          <w:rStyle w:val="VerbatimChar"/>
        </w:rPr>
        <w:t xml:space="preserve">  'ResourceHealth'</w:t>
      </w:r>
      <w:r>
        <w:br/>
      </w:r>
      <w:r>
        <w:rPr>
          <w:rStyle w:val="VerbatimChar"/>
        </w:rPr>
        <w:t xml:space="preserve">  'Alert'</w:t>
      </w:r>
      <w:r>
        <w:br/>
      </w:r>
      <w:r>
        <w:rPr>
          <w:rStyle w:val="VerbatimChar"/>
        </w:rPr>
        <w:t xml:space="preserve">  'Autoscale'</w:t>
      </w:r>
      <w:r>
        <w:br/>
      </w:r>
      <w:r>
        <w:rPr>
          <w:rStyle w:val="VerbatimChar"/>
        </w:rPr>
        <w:t xml:space="preserve">  'Recommendation'</w:t>
      </w:r>
      <w:r>
        <w:br/>
      </w:r>
      <w:r>
        <w:rPr>
          <w:rStyle w:val="VerbatimChar"/>
        </w:rPr>
        <w:t xml:space="preserve">]</w:t>
      </w:r>
      <w:r>
        <w:br/>
      </w:r>
      <w:r>
        <w:br/>
      </w:r>
      <w:r>
        <w:rPr>
          <w:rStyle w:val="VerbatimChar"/>
        </w:rPr>
        <w:t xml:space="preserve">resource activityLogExport 'Microsoft.Insights/diagnosticSettings@2021-05-01-preview' = {</w:t>
      </w:r>
      <w:r>
        <w:br/>
      </w:r>
      <w:r>
        <w:rPr>
          <w:rStyle w:val="VerbatimChar"/>
        </w:rPr>
        <w:t xml:space="preserve">  name: settingName</w:t>
      </w:r>
      <w:r>
        <w:br/>
      </w:r>
      <w:r>
        <w:rPr>
          <w:rStyle w:val="VerbatimChar"/>
        </w:rPr>
        <w:t xml:space="preserve">  properties: {</w:t>
      </w:r>
      <w:r>
        <w:br/>
      </w:r>
      <w:r>
        <w:rPr>
          <w:rStyle w:val="VerbatimChar"/>
        </w:rPr>
        <w:t xml:space="preserve">    workspaceId: workspaceId</w:t>
      </w:r>
      <w:r>
        <w:br/>
      </w:r>
      <w:r>
        <w:rPr>
          <w:rStyle w:val="VerbatimChar"/>
        </w:rPr>
        <w:t xml:space="preserve">    logs: [for category in categories: {</w:t>
      </w:r>
      <w:r>
        <w:br/>
      </w:r>
      <w:r>
        <w:rPr>
          <w:rStyle w:val="VerbatimChar"/>
        </w:rPr>
        <w:t xml:space="preserve">      category: category</w:t>
      </w:r>
      <w:r>
        <w:br/>
      </w:r>
      <w:r>
        <w:rPr>
          <w:rStyle w:val="VerbatimChar"/>
        </w:rPr>
        <w:t xml:space="preserve">      enabled: true</w:t>
      </w:r>
      <w:r>
        <w:br/>
      </w:r>
      <w:r>
        <w:rPr>
          <w:rStyle w:val="VerbatimChar"/>
        </w:rPr>
        <w:t xml:space="preserve">    }]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Landing zones with a management-group hierarchy can set this once at the top</w:t>
      </w:r>
      <w:r>
        <w:t xml:space="preserve"> </w:t>
      </w:r>
      <w:r>
        <w:t xml:space="preserve">level instead of per subscription: a management-group diagnostic setting</w:t>
      </w:r>
      <w:r>
        <w:t xml:space="preserve"> </w:t>
      </w:r>
      <w:r>
        <w:t xml:space="preserve">“exports Azure Monitor activity log events for that management group in</w:t>
      </w:r>
      <w:r>
        <w:t xml:space="preserve"> </w:t>
      </w:r>
      <w:r>
        <w:t xml:space="preserve">addition to all management groups under it in the hierarchy”</w:t>
      </w:r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activity log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Duplicates are the intended trade-off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both a management group and a subscription beneath it carry diagnostic</w:t>
            </w:r>
            <w:r>
              <w:t xml:space="preserve"> </w:t>
            </w:r>
            <w:r>
              <w:t xml:space="preserve">settings, you receive duplicate events. Microsoft’s position is that</w:t>
            </w:r>
            <w:r>
              <w:t xml:space="preserve"> </w:t>
            </w:r>
            <w:r>
              <w:t xml:space="preserve">“getting duplicate events is better than missing events,”</w:t>
            </w:r>
            <w:r>
              <w:t xml:space="preserve"> </w:t>
            </w:r>
            <w:r>
              <w:t xml:space="preserve">because the</w:t>
            </w:r>
            <w:r>
              <w:t xml:space="preserve"> </w:t>
            </w:r>
            <w:r>
              <w:rPr>
                <w:rStyle w:val="VerbatimChar"/>
              </w:rPr>
              <w:t xml:space="preserve">hierarchy</w:t>
            </w:r>
            <w:r>
              <w:t xml:space="preserve"> </w:t>
            </w:r>
            <w:r>
              <w:t xml:space="preserve">property is not populated by resource providers outside Resource</w:t>
            </w:r>
            <w:r>
              <w:t xml:space="preserve"> </w:t>
            </w:r>
            <w:r>
              <w:t xml:space="preserve">Manager, so their events do not propagate upward.</w:t>
            </w:r>
          </w:p>
          <w:p>
            <w:pPr>
              <w:pStyle w:val="BodyText"/>
            </w:pPr>
            <w:r>
              <w:t xml:space="preserve">Deduplicate at query time rather than by removing a setting:</w:t>
            </w:r>
          </w:p>
          <w:p>
            <w:pPr>
              <w:pStyle w:val="SourceCode"/>
            </w:pPr>
            <w:r>
              <w:rPr>
                <w:rStyle w:val="VerbatimChar"/>
              </w:rPr>
              <w:t xml:space="preserve">AzureActivity</w:t>
            </w:r>
            <w:r>
              <w:br/>
            </w:r>
            <w:r>
              <w:rPr>
                <w:rStyle w:val="VerbatimChar"/>
              </w:rPr>
              <w:t xml:space="preserve">| extend Hash = hash(dynamic_to_json(pack_all))</w:t>
            </w:r>
            <w:r>
              <w:br/>
            </w:r>
            <w:r>
              <w:rPr>
                <w:rStyle w:val="VerbatimChar"/>
              </w:rPr>
              <w:t xml:space="preserve">| summarize arg_max(TimeGenerated, *) by Hash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For a federal tenant this is the right call — an assessor accepts a</w:t>
            </w:r>
            <w:r>
              <w:t xml:space="preserve"> </w:t>
            </w:r>
            <w:r>
              <w:t xml:space="preserve">deduplicated stream; nobody accepts a gap.</w:t>
            </w:r>
          </w:p>
          <w:p/>
        </w:tc>
      </w:tr>
    </w:tbl>
    <w:bookmarkEnd w:id="27"/>
    <w:bookmarkEnd w:id="28"/>
    <w:bookmarkStart w:id="34" w:name="part-2-resource-logs"/>
    <w:p>
      <w:pPr>
        <w:pStyle w:val="Heading2"/>
      </w:pPr>
      <w:r>
        <w:t xml:space="preserve">Part 2 — Resource logs</w:t>
      </w:r>
    </w:p>
    <w:p>
      <w:pPr>
        <w:pStyle w:val="FirstParagraph"/>
      </w:pPr>
      <w:r>
        <w:t xml:space="preserve">Resource logs are per-resource and the category list varies by resource type.</w:t>
      </w:r>
      <w:r>
        <w:t xml:space="preserve"> </w:t>
      </w:r>
      <w:r>
        <w:t xml:space="preserve">Discover what a given resource supports before writing the setting:</w:t>
      </w:r>
    </w:p>
    <w:p>
      <w:pPr>
        <w:pStyle w:val="SourceCode"/>
      </w:pPr>
      <w:r>
        <w:rPr>
          <w:rStyle w:val="ExtensionTok"/>
        </w:rPr>
        <w:t xml:space="preserve">az</w:t>
      </w:r>
      <w:r>
        <w:rPr>
          <w:rStyle w:val="NormalTok"/>
        </w:rPr>
        <w:t xml:space="preserve"> monitor diagnostic-settings categories list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--resource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${RESOURCE_ID}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"value[].{name:name, type:categoryType, group:categoryGroups}"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table</w:t>
      </w:r>
    </w:p>
    <w:p>
      <w:pPr>
        <w:pStyle w:val="FirstParagraph"/>
      </w:pPr>
      <w:r>
        <w:t xml:space="preserve">Then create the setting.</w:t>
      </w:r>
      <w:r>
        <w:t xml:space="preserve"> </w:t>
      </w:r>
      <w:r>
        <w:rPr>
          <w:rStyle w:val="VerbatimChar"/>
        </w:rPr>
        <w:t xml:space="preserve">allLogs</w:t>
      </w:r>
      <w:r>
        <w:t xml:space="preserve"> </w:t>
      </w:r>
      <w:r>
        <w:t xml:space="preserve">is a category</w:t>
      </w:r>
      <w:r>
        <w:t xml:space="preserve"> </w:t>
      </w:r>
      <w:r>
        <w:rPr>
          <w:i/>
          <w:iCs/>
        </w:rPr>
        <w:t xml:space="preserve">group</w:t>
      </w:r>
      <w:r>
        <w:t xml:space="preserve"> </w:t>
      </w:r>
      <w:r>
        <w:t xml:space="preserve">meaning</w:t>
      </w:r>
      <w:r>
        <w:t xml:space="preserve"> </w:t>
      </w:r>
      <w:r>
        <w:t xml:space="preserve">“every log</w:t>
      </w:r>
      <w:r>
        <w:t xml:space="preserve"> </w:t>
      </w:r>
      <w:r>
        <w:t xml:space="preserve">category this resource type has,”</w:t>
      </w:r>
      <w:r>
        <w:t xml:space="preserve"> </w:t>
      </w:r>
      <w:r>
        <w:t xml:space="preserve">which is the correct default for a</w:t>
      </w:r>
      <w:r>
        <w:t xml:space="preserve"> </w:t>
      </w:r>
      <w:r>
        <w:t xml:space="preserve">compliance baseline — it survives Microsoft adding a category later:</w:t>
      </w:r>
    </w:p>
    <w:p>
      <w:pPr>
        <w:pStyle w:val="SourceCode"/>
      </w:pPr>
      <w:r>
        <w:rPr>
          <w:rStyle w:val="ExtensionTok"/>
        </w:rPr>
        <w:t xml:space="preserve">az</w:t>
      </w:r>
      <w:r>
        <w:rPr>
          <w:rStyle w:val="NormalTok"/>
        </w:rPr>
        <w:t xml:space="preserve"> monitor diagnostic-settings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"fmp-resource-logs"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--resource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${RESOURCE_ID}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--workspace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${WORKSPACE_RESOURCE_ID}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--logs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'[{"categoryGroup": "allLogs", "enabled": true}]'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--metrics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'[{"category": "AllMetrics", "enabled": true}]'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--export-to-resource-specific</w:t>
      </w:r>
      <w:r>
        <w:rPr>
          <w:rStyle w:val="NormalTok"/>
        </w:rPr>
        <w:t xml:space="preserve"> true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resource-specific tables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rStyle w:val="VerbatimChar"/>
              </w:rPr>
              <w:t xml:space="preserve">--export-to-resource-specific true</w:t>
            </w:r>
            <w:r>
              <w:t xml:space="preserve"> </w:t>
            </w:r>
            <w:r>
              <w:t xml:space="preserve">(ARM:</w:t>
            </w:r>
            <w:r>
              <w:t xml:space="preserve"> </w:t>
            </w:r>
            <w:r>
              <w:rPr>
                <w:rStyle w:val="VerbatimChar"/>
              </w:rPr>
              <w:t xml:space="preserve">logAnalyticsDestinationType: 'Dedicated'</w:t>
            </w:r>
            <w:r>
              <w:t xml:space="preserve">) sends logs to purpose-built tables instead of the generic</w:t>
            </w:r>
            <w:r>
              <w:t xml:space="preserve"> </w:t>
            </w:r>
            <w:r>
              <w:rPr>
                <w:rStyle w:val="VerbatimChar"/>
              </w:rPr>
              <w:t xml:space="preserve">AzureDiagnostics</w:t>
            </w:r>
            <w:r>
              <w:t xml:space="preserve"> </w:t>
            </w:r>
            <w:r>
              <w:t xml:space="preserve">table. Microsoft recommends this</w:t>
            </w:r>
            <w:r>
              <w:t xml:space="preserve"> </w:t>
            </w:r>
            <w:r>
              <w:t xml:space="preserve">(</w:t>
            </w:r>
            <w:hyperlink r:id="rId31">
              <w:r>
                <w:rPr>
                  <w:rStyle w:val="Hyperlink"/>
                </w:rPr>
                <w:t xml:space="preserve">Azure Monitor REST API guidance</w:t>
              </w:r>
            </w:hyperlink>
            <w:r>
              <w:t xml:space="preserve">).</w:t>
            </w:r>
          </w:p>
          <w:p>
            <w:pPr>
              <w:pStyle w:val="BodyText"/>
            </w:pPr>
            <w:r>
              <w:t xml:space="preserve">It matters for compliance work specifically:</w:t>
            </w:r>
            <w:r>
              <w:t xml:space="preserve"> </w:t>
            </w:r>
            <w:r>
              <w:rPr>
                <w:rStyle w:val="VerbatimChar"/>
              </w:rPr>
              <w:t xml:space="preserve">AzureDiagnostics</w:t>
            </w:r>
            <w:r>
              <w:t xml:space="preserve"> </w:t>
            </w:r>
            <w:r>
              <w:t xml:space="preserve">is a shared,</w:t>
            </w:r>
            <w:r>
              <w:t xml:space="preserve"> </w:t>
            </w:r>
            <w:r>
              <w:t xml:space="preserve">sparsely-populated wide table with a</w:t>
            </w:r>
            <w:r>
              <w:t xml:space="preserve"> </w:t>
            </w:r>
            <w:r>
              <w:rPr>
                <w:b/>
                <w:bCs/>
              </w:rPr>
              <w:t xml:space="preserve">column limit</w:t>
            </w:r>
            <w:r>
              <w:t xml:space="preserve"> </w:t>
            </w:r>
            <w:r>
              <w:t xml:space="preserve">that different resource</w:t>
            </w:r>
            <w:r>
              <w:t xml:space="preserve"> </w:t>
            </w:r>
            <w:r>
              <w:t xml:space="preserve">types compete for. Once that limit is hit, new columns are silently dropped —</w:t>
            </w:r>
            <w:r>
              <w:t xml:space="preserve"> </w:t>
            </w:r>
            <w:r>
              <w:t xml:space="preserve">audit fields disappear from records that otherwise look intact. Resource-</w:t>
            </w:r>
            <w:r>
              <w:t xml:space="preserve"> </w:t>
            </w:r>
            <w:r>
              <w:t xml:space="preserve">specific tables have their own schema and cannot be crowded out.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trade-off is that detection rules must name the specific table. Decide</w:t>
            </w:r>
            <w:r>
              <w:t xml:space="preserve"> </w:t>
            </w:r>
            <w:r>
              <w:t xml:space="preserve">once, apply everywhere; mixing modes across a fleet is the worst outcome.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self-reference loop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storage account or Event Hubs namespace cannot be the destination for its</w:t>
            </w:r>
            <w:r>
              <w:t xml:space="preserve"> </w:t>
            </w:r>
            <w:r>
              <w:t xml:space="preserve">own diagnostic setting — it would generate data by writing data, forever. The</w:t>
            </w:r>
            <w:r>
              <w:t xml:space="preserve"> </w:t>
            </w:r>
            <w:r>
              <w:t xml:space="preserve">portal blocks this; the CLI, PowerShell, REST API, and ARM templates</w:t>
            </w:r>
            <w:r>
              <w:t xml:space="preserve"> </w:t>
            </w:r>
            <w:r>
              <w:rPr>
                <w:b/>
                <w:bCs/>
              </w:rPr>
              <w:t xml:space="preserve">do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(</w:t>
            </w:r>
            <w:hyperlink r:id="rId21">
              <w:r>
                <w:rPr>
                  <w:rStyle w:val="Hyperlink"/>
                </w:rPr>
                <w:t xml:space="preserve">diagnostic settings</w:t>
              </w:r>
            </w:hyperlink>
            <w:r>
              <w:t xml:space="preserve">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Automation that enumerates every resource in a subscription and applies a</w:t>
            </w:r>
            <w:r>
              <w:t xml:space="preserve"> </w:t>
            </w:r>
            <w:r>
              <w:t xml:space="preserve">diagnostic setting will eventually hit the logging storage account itself.</w:t>
            </w:r>
            <w:r>
              <w:t xml:space="preserve"> </w:t>
            </w:r>
            <w:r>
              <w:t xml:space="preserve">Exclude the telemetry-infrastructure resources explicitly in any at-scale</w:t>
            </w:r>
            <w:r>
              <w:t xml:space="preserve"> </w:t>
            </w:r>
            <w:r>
              <w:t xml:space="preserve">loop.</w:t>
            </w:r>
          </w:p>
          <w:p/>
        </w:tc>
      </w:tr>
    </w:tbl>
    <w:bookmarkEnd w:id="34"/>
    <w:bookmarkStart w:id="38" w:name="Xba4ae7908dfcd1f43c3a97ccba3060cd676f080"/>
    <w:p>
      <w:pPr>
        <w:pStyle w:val="Heading2"/>
      </w:pPr>
      <w:r>
        <w:t xml:space="preserve">Part 3 — Enforce at scale with Azure Policy</w:t>
      </w:r>
    </w:p>
    <w:p>
      <w:pPr>
        <w:pStyle w:val="FirstParagraph"/>
      </w:pPr>
      <w:r>
        <w:t xml:space="preserve">Everything above configures what exists today. A resource created tomorrow is</w:t>
      </w:r>
      <w:r>
        <w:t xml:space="preserve"> </w:t>
      </w:r>
      <w:r>
        <w:t xml:space="preserve">born silent unless policy makes emission a property of the platform rather</w:t>
      </w:r>
      <w:r>
        <w:t xml:space="preserve"> </w:t>
      </w:r>
      <w:r>
        <w:t xml:space="preserve">than a deployment checklist item.</w:t>
      </w:r>
    </w:p>
    <w:p>
      <w:pPr>
        <w:pStyle w:val="BodyText"/>
      </w:pPr>
      <w:r>
        <w:t xml:space="preserve">Use built-in</w:t>
      </w:r>
      <w:r>
        <w:t xml:space="preserve"> </w:t>
      </w:r>
      <w:r>
        <w:rPr>
          <w:rStyle w:val="VerbatimChar"/>
        </w:rPr>
        <w:t xml:space="preserve">DeployIfNotExists</w:t>
      </w:r>
      <w:r>
        <w:t xml:space="preserve"> </w:t>
      </w:r>
      <w:r>
        <w:t xml:space="preserve">policy initiatives, assigned at management-</w:t>
      </w:r>
      <w:r>
        <w:t xml:space="preserve"> </w:t>
      </w:r>
      <w:r>
        <w:t xml:space="preserve">group scope with a managed identity holding</w:t>
      </w:r>
      <w:r>
        <w:t xml:space="preserve"> </w:t>
      </w:r>
      <w:r>
        <w:rPr>
          <w:b/>
          <w:bCs/>
        </w:rPr>
        <w:t xml:space="preserve">Monitoring Contributor</w:t>
      </w:r>
      <w:r>
        <w:t xml:space="preserve"> </w:t>
      </w:r>
      <w:r>
        <w:t xml:space="preserve">on the</w:t>
      </w:r>
      <w:r>
        <w:t xml:space="preserve"> </w:t>
      </w:r>
      <w:r>
        <w:t xml:space="preserve">target scope and</w:t>
      </w:r>
      <w:r>
        <w:t xml:space="preserve"> </w:t>
      </w:r>
      <w:r>
        <w:rPr>
          <w:b/>
          <w:bCs/>
        </w:rPr>
        <w:t xml:space="preserve">Log Analytics Contributor</w:t>
      </w:r>
      <w:r>
        <w:t xml:space="preserve"> </w:t>
      </w:r>
      <w:r>
        <w:t xml:space="preserve">on the workspace: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Policy pattern</w:t>
            </w:r>
          </w:p>
        </w:tc>
        <w:tc>
          <w:tcPr/>
          <w:p>
            <w:pPr>
              <w:pStyle w:val="Compact"/>
            </w:pPr>
            <w:r>
              <w:t xml:space="preserve">Effect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Deploy Diagnostic Settings for</w:t>
            </w:r>
            <w:r>
              <w:rPr>
                <w:i/>
                <w:iCs/>
              </w:rPr>
              <w:t xml:space="preserve"> </w:t>
            </w:r>
            <w:r>
              <w:rPr>
                <w:rStyle w:val="VerbatimChar"/>
                <w:i/>
                <w:iCs/>
              </w:rPr>
              <w:t xml:space="preserve">&lt;resource type&gt;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to Log Analytics workspace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DeployIfNotExists</w:t>
            </w:r>
            <w:r>
              <w:t xml:space="preserve"> </w:t>
            </w:r>
            <w:r>
              <w:t xml:space="preserve">— remediates new and, via a remediation task, existing resources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Configure Azure Activity logs to stream to specified Log Analytics workspace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DeployIfNotExists</w:t>
            </w:r>
            <w:r>
              <w:t xml:space="preserve"> </w:t>
            </w:r>
            <w:r>
              <w:t xml:space="preserve">at subscription scope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Audit diagnostic setting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AuditIfNotExists</w:t>
            </w:r>
            <w:r>
              <w:t xml:space="preserve"> </w:t>
            </w:r>
            <w:r>
              <w:t xml:space="preserve">— reports without changing, for the assessment-only posture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rPr>
                <w:rStyle w:val="VerbatimChar"/>
              </w:rPr>
              <w:t xml:space="preserve">DeployIfNotExists</w:t>
            </w:r>
            <w:r>
              <w:t xml:space="preserve"> </w:t>
            </w:r>
            <w:r>
              <w:t xml:space="preserve">only fires on resource writes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DeployIfNotExists</w:t>
            </w:r>
            <w:r>
              <w:t xml:space="preserve"> </w:t>
            </w:r>
            <w:r>
              <w:t xml:space="preserve">assignment evaluates when a resource is created or</w:t>
            </w:r>
            <w:r>
              <w:t xml:space="preserve"> </w:t>
            </w:r>
            <w:r>
              <w:t xml:space="preserve">updated. It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retroactively fix the estate at assignment time —</w:t>
            </w:r>
            <w:r>
              <w:t xml:space="preserve"> </w:t>
            </w:r>
            <w:r>
              <w:t xml:space="preserve">existing resources stay non-compliant until you run a</w:t>
            </w:r>
            <w:r>
              <w:t xml:space="preserve"> </w:t>
            </w:r>
            <w:r>
              <w:rPr>
                <w:b/>
                <w:bCs/>
              </w:rPr>
              <w:t xml:space="preserve">remediation task</w:t>
            </w:r>
            <w:r>
              <w:t xml:space="preserve"> </w:t>
            </w:r>
            <w:r>
              <w:t xml:space="preserve">against the assignment.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standard failure: policy is assigned, the compliance dashboard goes green</w:t>
            </w:r>
            <w:r>
              <w:t xml:space="preserve"> </w:t>
            </w:r>
            <w:r>
              <w:t xml:space="preserve">for newly-created resources, and a year of pre-existing resources continues</w:t>
            </w:r>
            <w:r>
              <w:t xml:space="preserve"> </w:t>
            </w:r>
            <w:r>
              <w:t xml:space="preserve">emitting nothing. Assign the policy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run the remediation task, then</w:t>
            </w:r>
            <w:r>
              <w:t xml:space="preserve"> </w:t>
            </w:r>
            <w:r>
              <w:t xml:space="preserve">confirm the compliance percentage against the resource count.</w:t>
            </w:r>
          </w:p>
          <w:p/>
        </w:tc>
      </w:tr>
    </w:tbl>
    <w:p>
      <w:pPr>
        <w:pStyle w:val="BodyText"/>
      </w:pPr>
      <w:r>
        <w:t xml:space="preserve">This is also the direct implementation of FedRAMP</w:t>
      </w:r>
      <w:r>
        <w:t xml:space="preserve"> </w:t>
      </w:r>
      <w:r>
        <w:rPr>
          <w:b/>
          <w:bCs/>
        </w:rPr>
        <w:t xml:space="preserve">KSI-MLA-EVC</w:t>
      </w:r>
      <w:r>
        <w:t xml:space="preserve"> </w:t>
      </w:r>
      <w:r>
        <w:t xml:space="preserve">—</w:t>
      </w:r>
      <w:r>
        <w:t xml:space="preserve"> </w:t>
      </w:r>
      <w:r>
        <w:t xml:space="preserve">“the</w:t>
      </w:r>
      <w:r>
        <w:t xml:space="preserve"> </w:t>
      </w:r>
      <w:r>
        <w:t xml:space="preserve">configuration of machine-based information resources, especially</w:t>
      </w:r>
      <w:r>
        <w:t xml:space="preserve"> </w:t>
      </w:r>
      <w:r>
        <w:t xml:space="preserve">infrastructure as code, is persistently evaluated and tested.”</w:t>
      </w:r>
      <w:r>
        <w:t xml:space="preserve"> </w:t>
      </w:r>
      <w:r>
        <w:t xml:space="preserve">A policy</w:t>
      </w:r>
      <w:r>
        <w:t xml:space="preserve"> </w:t>
      </w:r>
      <w:r>
        <w:t xml:space="preserve">assignment with continuous compliance evaluation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persistent</w:t>
      </w:r>
      <w:r>
        <w:t xml:space="preserve"> </w:t>
      </w:r>
      <w:r>
        <w:t xml:space="preserve">evaluation; a spreadsheet of resources somebody checked once is not.</w:t>
      </w:r>
    </w:p>
    <w:p>
      <w:pPr>
        <w:pStyle w:val="BodyText"/>
      </w:pPr>
      <w:r>
        <w:t xml:space="preserve">The repo’s Azure Arc policy library covers the adjacent hybrid-server case:</w:t>
      </w:r>
      <w:r>
        <w:t xml:space="preserve"> </w:t>
      </w:r>
      <w:r>
        <w:t xml:space="preserve">Azure Arc policy library.</w:t>
      </w:r>
    </w:p>
    <w:bookmarkEnd w:id="38"/>
    <w:bookmarkStart w:id="39" w:name="verify-emission"/>
    <w:p>
      <w:pPr>
        <w:pStyle w:val="Heading2"/>
      </w:pPr>
      <w:r>
        <w:t xml:space="preserve">Verify emission</w:t>
      </w:r>
    </w:p>
    <w:p>
      <w:pPr>
        <w:pStyle w:val="SourceCode"/>
      </w:pPr>
      <w:r>
        <w:rPr>
          <w:rStyle w:val="VerbatimChar"/>
        </w:rPr>
        <w:t xml:space="preserve">// Azure control-plane emission health, by subscription and category.</w:t>
      </w:r>
      <w:r>
        <w:br/>
      </w:r>
      <w:r>
        <w:rPr>
          <w:rStyle w:val="VerbatimChar"/>
        </w:rPr>
        <w:t xml:space="preserve">AzureActivity</w:t>
      </w:r>
      <w:r>
        <w:br/>
      </w:r>
      <w:r>
        <w:rPr>
          <w:rStyle w:val="VerbatimChar"/>
        </w:rPr>
        <w:t xml:space="preserve">| where TimeGenerated &gt; ago(24h)</w:t>
      </w:r>
      <w:r>
        <w:br/>
      </w:r>
      <w:r>
        <w:rPr>
          <w:rStyle w:val="VerbatimChar"/>
        </w:rPr>
        <w:t xml:space="preserve">| summarize Events = count, LastEvent = max(TimeGenerated)</w:t>
      </w:r>
      <w:r>
        <w:br/>
      </w:r>
      <w:r>
        <w:rPr>
          <w:rStyle w:val="VerbatimChar"/>
        </w:rPr>
        <w:t xml:space="preserve">    by SubscriptionId, Category</w:t>
      </w:r>
      <w:r>
        <w:br/>
      </w:r>
      <w:r>
        <w:rPr>
          <w:rStyle w:val="VerbatimChar"/>
        </w:rPr>
        <w:t xml:space="preserve">| extend Stale = LastEvent &lt; ago(6h)</w:t>
      </w:r>
      <w:r>
        <w:br/>
      </w:r>
      <w:r>
        <w:rPr>
          <w:rStyle w:val="VerbatimChar"/>
        </w:rPr>
        <w:t xml:space="preserve">| order by Stale desc, SubscriptionId asc, Category asc</w:t>
      </w:r>
    </w:p>
    <w:p>
      <w:pPr>
        <w:pStyle w:val="FirstParagraph"/>
      </w:pPr>
      <w:r>
        <w:t xml:space="preserve">A subscription absent from these results is not exporting. Compare the</w:t>
      </w:r>
      <w:r>
        <w:t xml:space="preserve"> </w:t>
      </w:r>
      <w:r>
        <w:t xml:space="preserve">returned</w:t>
      </w:r>
      <w:r>
        <w:t xml:space="preserve"> </w:t>
      </w:r>
      <w:r>
        <w:rPr>
          <w:rStyle w:val="VerbatimChar"/>
        </w:rPr>
        <w:t xml:space="preserve">SubscriptionId</w:t>
      </w:r>
      <w:r>
        <w:t xml:space="preserve"> </w:t>
      </w:r>
      <w:r>
        <w:t xml:space="preserve">set against the full subscription inventory —</w:t>
      </w:r>
      <w:r>
        <w:t xml:space="preserve"> </w:t>
      </w:r>
      <w:r>
        <w:t xml:space="preserve">the query cannot show you a subscription that has never sent a single event,</w:t>
      </w:r>
      <w:r>
        <w:t xml:space="preserve"> </w:t>
      </w:r>
      <w:r>
        <w:t xml:space="preserve">which is exactly the one you need to find:</w:t>
      </w:r>
    </w:p>
    <w:p>
      <w:pPr>
        <w:pStyle w:val="SourceCode"/>
      </w:pPr>
      <w:r>
        <w:rPr>
          <w:rStyle w:val="CommentTok"/>
        </w:rPr>
        <w:t xml:space="preserve"># Subscriptions with no activity-log diagnostic setting.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sub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az</w:t>
      </w:r>
      <w:r>
        <w:rPr>
          <w:rStyle w:val="NormalTok"/>
        </w:rPr>
        <w:t xml:space="preserve"> account list </w:t>
      </w:r>
      <w:r>
        <w:rPr>
          <w:rStyle w:val="AttributeTok"/>
        </w:rPr>
        <w:t xml:space="preserve">--query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"[].id"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tsv</w:t>
      </w:r>
      <w:r>
        <w:rPr>
          <w:rStyle w:val="VariableTok"/>
        </w:rPr>
        <w:t xml:space="preserve">)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do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count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az</w:t>
      </w:r>
      <w:r>
        <w:rPr>
          <w:rStyle w:val="NormalTok"/>
        </w:rPr>
        <w:t xml:space="preserve"> monitor diagnostic-settings subscription list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    </w:t>
      </w:r>
      <w:r>
        <w:rPr>
          <w:rStyle w:val="AttributeTok"/>
        </w:rPr>
        <w:t xml:space="preserve">--subscription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$sub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"length(value)"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tsv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/dev/null </w:t>
      </w:r>
      <w:r>
        <w:rPr>
          <w:rStyle w:val="KeywordTok"/>
        </w:rPr>
        <w:t xml:space="preserve">||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0</w:t>
      </w:r>
      <w:r>
        <w:rPr>
          <w:rStyle w:val="Variable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BuiltIn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$count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therTok"/>
        </w:rPr>
        <w:t xml:space="preserve">-eq</w:t>
      </w:r>
      <w:r>
        <w:rPr>
          <w:rStyle w:val="NormalTok"/>
        </w:rPr>
        <w:t xml:space="preserve"> 0 </w:t>
      </w:r>
      <w:r>
        <w:rPr>
          <w:rStyle w:val="BuiltInTok"/>
        </w:rPr>
        <w:t xml:space="preserve">]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 ACTIVITY LOG EXPORT: </w:t>
      </w:r>
      <w:r>
        <w:rPr>
          <w:rStyle w:val="VariableTok"/>
        </w:rPr>
        <w:t xml:space="preserve">$sub</w:t>
      </w:r>
      <w:r>
        <w:rPr>
          <w:rStyle w:val="StringTok"/>
        </w:rPr>
        <w:t xml:space="preserve">"</w:t>
      </w:r>
      <w:r>
        <w:br/>
      </w:r>
      <w:r>
        <w:rPr>
          <w:rStyle w:val="ControlFlowTok"/>
        </w:rPr>
        <w:t xml:space="preserve">done</w:t>
      </w:r>
    </w:p>
    <w:p>
      <w:pPr>
        <w:pStyle w:val="FirstParagraph"/>
      </w:pPr>
      <w:r>
        <w:t xml:space="preserve">Resource-level coverage, for resources that have emitted at least once:</w:t>
      </w:r>
    </w:p>
    <w:p>
      <w:pPr>
        <w:pStyle w:val="SourceCode"/>
      </w:pPr>
      <w:r>
        <w:rPr>
          <w:rStyle w:val="VerbatimChar"/>
        </w:rPr>
        <w:t xml:space="preserve">// Resource types currently landing in the generic diagnostics table.</w:t>
      </w:r>
      <w:r>
        <w:br/>
      </w:r>
      <w:r>
        <w:rPr>
          <w:rStyle w:val="VerbatimChar"/>
        </w:rPr>
        <w:t xml:space="preserve">AzureDiagnostics</w:t>
      </w:r>
      <w:r>
        <w:br/>
      </w:r>
      <w:r>
        <w:rPr>
          <w:rStyle w:val="VerbatimChar"/>
        </w:rPr>
        <w:t xml:space="preserve">| where TimeGenerated &gt; ago(24h)</w:t>
      </w:r>
      <w:r>
        <w:br/>
      </w:r>
      <w:r>
        <w:rPr>
          <w:rStyle w:val="VerbatimChar"/>
        </w:rPr>
        <w:t xml:space="preserve">| summarize Events = count, LastEvent = max(TimeGenerated) by ResourceType, ResourceProvider</w:t>
      </w:r>
      <w:r>
        <w:br/>
      </w:r>
      <w:r>
        <w:rPr>
          <w:rStyle w:val="VerbatimChar"/>
        </w:rPr>
        <w:t xml:space="preserve">| order by Events desc</w:t>
      </w:r>
    </w:p>
    <w:p>
      <w:pPr>
        <w:pStyle w:val="FirstParagraph"/>
      </w:pPr>
      <w:r>
        <w:t xml:space="preserve">Neither query proves</w:t>
      </w:r>
      <w:r>
        <w:t xml:space="preserve"> </w:t>
      </w:r>
      <w:r>
        <w:rPr>
          <w:i/>
          <w:iCs/>
        </w:rPr>
        <w:t xml:space="preserve">completeness</w:t>
      </w:r>
      <w:r>
        <w:t xml:space="preserve"> </w:t>
      </w:r>
      <w:r>
        <w:t xml:space="preserve">— only Azure Policy compliance state</w:t>
      </w:r>
      <w:r>
        <w:t xml:space="preserve"> </w:t>
      </w:r>
      <w:r>
        <w:t xml:space="preserve">does, because it evaluates against the full resource inventory rather than</w:t>
      </w:r>
      <w:r>
        <w:t xml:space="preserve"> </w:t>
      </w:r>
      <w:r>
        <w:t xml:space="preserve">against what happens to have arrived. Treat the policy compliance percentage</w:t>
      </w:r>
      <w:r>
        <w:t xml:space="preserve"> </w:t>
      </w:r>
      <w:r>
        <w:t xml:space="preserve">as the AU-2 coverage metric and these queries as liveness checks on top of it.</w:t>
      </w:r>
    </w:p>
    <w:bookmarkEnd w:id="39"/>
    <w:bookmarkStart w:id="41" w:name="next"/>
    <w:p>
      <w:pPr>
        <w:pStyle w:val="Heading2"/>
      </w:pPr>
      <w:r>
        <w:t xml:space="preserve">Next</w:t>
      </w:r>
    </w:p>
    <w:p>
      <w:pPr>
        <w:pStyle w:val="FirstParagraph"/>
      </w:pPr>
      <w:hyperlink r:id="rId40">
        <w:r>
          <w:rPr>
            <w:rStyle w:val="Hyperlink"/>
          </w:rPr>
          <w:t xml:space="preserve">Microsoft 365 unified audit</w:t>
        </w:r>
      </w:hyperlink>
      <w:r>
        <w:t xml:space="preserve"> </w:t>
      </w:r>
      <w:r>
        <w:t xml:space="preserve">— the third plane,</w:t>
      </w:r>
      <w:r>
        <w:t xml:space="preserve"> </w:t>
      </w:r>
      <w:r>
        <w:t xml:space="preserve">which neither of the diagnostic-settings pipelines above touches.</w:t>
      </w:r>
    </w:p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5" Target="media/rId35.png" /><Relationship Type="http://schemas.openxmlformats.org/officeDocument/2006/relationships/image" Id="rId24" Target="media/rId24.png" /><Relationship Type="http://schemas.openxmlformats.org/officeDocument/2006/relationships/image" Id="rId11" Target="media/rId11.png" /><Relationship Type="http://schemas.openxmlformats.org/officeDocument/2006/relationships/image" Id="rId18" Target="media/rId18.png" /><Relationship Type="http://schemas.openxmlformats.org/officeDocument/2006/relationships/hyperlink" Id="rId40" Target="03-m365-unified-audit.md" TargetMode="External" /><Relationship Type="http://schemas.openxmlformats.org/officeDocument/2006/relationships/hyperlink" Id="rId23" Target="https://learn.microsoft.com/azure/azure-monitor/platform/activity-log#export-management-group-activity-logs" TargetMode="External" /><Relationship Type="http://schemas.openxmlformats.org/officeDocument/2006/relationships/hyperlink" Id="rId9" Target="https://learn.microsoft.com/azure/azure-monitor/platform/activity-log-schema#categories" TargetMode="External" /><Relationship Type="http://schemas.openxmlformats.org/officeDocument/2006/relationships/hyperlink" Id="rId21" Target="https://learn.microsoft.com/azure/azure-monitor/platform/diagnostic-settings#methods-for-creating-a-diagnostic-setting" TargetMode="External" /><Relationship Type="http://schemas.openxmlformats.org/officeDocument/2006/relationships/hyperlink" Id="rId31" Target="https://learn.microsoft.com/azure/managed-instance-apache-cassandra/monitor-clusters#diagnostic-settings-in-azure" TargetMode="External" /><Relationship Type="http://schemas.openxmlformats.org/officeDocument/2006/relationships/hyperlink" Id="rId10" Target="https://learn.microsoft.com/powershell/module/az.monitor/get-azeventcategory?view=azps-16.2.0" TargetMode="External" /><Relationship Type="http://schemas.openxmlformats.org/officeDocument/2006/relationships/hyperlink" Id="rId16" Target="https://learn.microsoft.com/troubleshoot/azure/azure-monitor/activity-logs/config-export/configuring-azure-activity-log-export-comprehensive-guide" TargetMode="External" /><Relationship Type="http://schemas.openxmlformats.org/officeDocument/2006/relationships/hyperlink" Id="rId15" Target="https://portal.azur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03-m365-unified-audit.md" TargetMode="External" /><Relationship Type="http://schemas.openxmlformats.org/officeDocument/2006/relationships/hyperlink" Id="rId23" Target="https://learn.microsoft.com/azure/azure-monitor/platform/activity-log#export-management-group-activity-logs" TargetMode="External" /><Relationship Type="http://schemas.openxmlformats.org/officeDocument/2006/relationships/hyperlink" Id="rId9" Target="https://learn.microsoft.com/azure/azure-monitor/platform/activity-log-schema#categories" TargetMode="External" /><Relationship Type="http://schemas.openxmlformats.org/officeDocument/2006/relationships/hyperlink" Id="rId21" Target="https://learn.microsoft.com/azure/azure-monitor/platform/diagnostic-settings#methods-for-creating-a-diagnostic-setting" TargetMode="External" /><Relationship Type="http://schemas.openxmlformats.org/officeDocument/2006/relationships/hyperlink" Id="rId31" Target="https://learn.microsoft.com/azure/managed-instance-apache-cassandra/monitor-clusters#diagnostic-settings-in-azure" TargetMode="External" /><Relationship Type="http://schemas.openxmlformats.org/officeDocument/2006/relationships/hyperlink" Id="rId10" Target="https://learn.microsoft.com/powershell/module/az.monitor/get-azeventcategory?view=azps-16.2.0" TargetMode="External" /><Relationship Type="http://schemas.openxmlformats.org/officeDocument/2006/relationships/hyperlink" Id="rId16" Target="https://learn.microsoft.com/troubleshoot/azure/azure-monitor/activity-logs/config-export/configuring-azure-activity-log-export-comprehensive-guide" TargetMode="External" /><Relationship Type="http://schemas.openxmlformats.org/officeDocument/2006/relationships/hyperlink" Id="rId15" Target="https://portal.azur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Azure Platform — Activity Log and Resource Log Emission</dc:title>
  <dc:creator>Michael Stratton</dc:creator>
  <cp:keywords/>
  <dcterms:created xsi:type="dcterms:W3CDTF">2026-10-19T10:11:23Z</dcterms:created>
  <dcterms:modified xsi:type="dcterms:W3CDTF">2026-10-19T10:11:23Z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anon-source">
    <vt:lpwstr>src/fmp/canon/adapter-registry.yaml#siem</vt:lpwstr>
  </property>
  <property fmtid="{D5CDD505-2E9C-101B-9397-08002B2CF9AE}" pid="7" name="created-at">
    <vt:lpwstr>2026-08-27</vt:lpwstr>
  </property>
  <property fmtid="{D5CDD505-2E9C-101B-9397-08002B2CF9AE}" pid="8" name="date">
    <vt:lpwstr>2026-08-01</vt:lpwstr>
  </property>
  <property fmtid="{D5CDD505-2E9C-101B-9397-08002B2CF9AE}" pid="9" name="derived-from">
    <vt:lpwstr>Microsoft Learn product documentation, linked inline per claim.</vt:lpwstr>
  </property>
  <property fmtid="{D5CDD505-2E9C-101B-9397-08002B2CF9AE}" pid="10" name="doc-type">
    <vt:lpwstr>operational-guide</vt:lpwstr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labels">
    <vt:lpwstr/>
  </property>
  <property fmtid="{D5CDD505-2E9C-101B-9397-08002B2CF9AE}" pid="15" name="lifecycle">
    <vt:lpwstr>adopted</vt:lpwstr>
  </property>
  <property fmtid="{D5CDD505-2E9C-101B-9397-08002B2CF9AE}" pid="16" name="lifecycle_review">
    <vt:lpwstr>2027-02-27</vt:lpwstr>
  </property>
  <property fmtid="{D5CDD505-2E9C-101B-9397-08002B2CF9AE}" pid="17" name="repo-path">
    <vt:lpwstr>docs/customer-documents/operational-guides/siem-telemetry-emission/02-azure-platform.qmd</vt:lpwstr>
  </property>
  <property fmtid="{D5CDD505-2E9C-101B-9397-08002B2CF9AE}" pid="18" name="status">
    <vt:lpwstr>Active</vt:lpwstr>
  </property>
  <property fmtid="{D5CDD505-2E9C-101B-9397-08002B2CF9AE}" pid="19" name="subtitle">
    <vt:lpwstr>Subscription-scope activity log export, per-resource diagnostic settings, and Azure Policy enforcement so new resources cannot be born silent</vt:lpwstr>
  </property>
  <property fmtid="{D5CDD505-2E9C-101B-9397-08002B2CF9AE}" pid="20" name="tiers_adopted">
    <vt:lpwstr/>
  </property>
  <property fmtid="{D5CDD505-2E9C-101B-9397-08002B2CF9AE}" pid="21" name="toc-title">
    <vt:lpwstr>Table of contents</vt:lpwstr>
  </property>
  <property fmtid="{D5CDD505-2E9C-101B-9397-08002B2CF9AE}" pid="22" name="updated-at">
    <vt:lpwstr>2026-08-27</vt:lpwstr>
  </property>
</Properties>
</file>