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22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 Microsoft 365 Unified Audit Log Emission</w:t>
      </w:r>
    </w:p>
    <w:p>
      <w:pPr>
        <w:pStyle w:val="Subtitle"/>
      </w:pPr>
      <w:r>
        <w:t xml:space="preserve">Verifying and enabling unified audit logging, subscribing to the Office 365 Management Activity API content types, and the retention tiers that decide whether the evidence survives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3" w:name="microsoft-365-unified-audit-log-emission"/>
    <w:p>
      <w:pPr>
        <w:pStyle w:val="Heading1"/>
      </w:pPr>
      <w:r>
        <w:t xml:space="preserve">Microsoft 365 Unified Audit Log Emission</w:t>
      </w:r>
    </w:p>
    <w:p>
      <w:pPr>
        <w:pStyle w:val="FirstParagraph"/>
      </w:pPr>
      <w:r>
        <w:t xml:space="preserve">The unified audit log (UAL) is the third emission plane and the one most often</w:t>
      </w:r>
      <w:r>
        <w:t xml:space="preserve"> </w:t>
      </w:r>
      <w:r>
        <w:t xml:space="preserve">assumed rather than verified. It covers Exchange Online, SharePoint, OneDrive,</w:t>
      </w:r>
      <w:r>
        <w:t xml:space="preserve"> </w:t>
      </w:r>
      <w:r>
        <w:t xml:space="preserve">Teams, Power Platform, and Purview activity — none of which appears in Entra</w:t>
      </w:r>
      <w:r>
        <w:t xml:space="preserve"> </w:t>
      </w:r>
      <w:r>
        <w:t xml:space="preserve">diagnostic settings or Azure activity logs.</w:t>
      </w:r>
    </w:p>
    <w:bookmarkStart w:id="14" w:name="step-1-verify-auditing-is-actually-on"/>
    <w:p>
      <w:pPr>
        <w:pStyle w:val="Heading2"/>
      </w:pPr>
      <w:r>
        <w:t xml:space="preserve">Step 1 — Verify auditing is actually on</w:t>
      </w:r>
    </w:p>
    <w:p>
      <w:pPr>
        <w:pStyle w:val="FirstParagraph"/>
      </w:pPr>
      <w:r>
        <w:t xml:space="preserve">Auditing is on by default for Microsoft 365 and Office 365</w:t>
      </w:r>
      <w:r>
        <w:t xml:space="preserve"> </w:t>
      </w:r>
      <w:r>
        <w:rPr>
          <w:b/>
          <w:bCs/>
        </w:rPr>
        <w:t xml:space="preserve">enterprise</w:t>
      </w:r>
      <w:r>
        <w:t xml:space="preserve"> </w:t>
      </w:r>
      <w:r>
        <w:t xml:space="preserve">organizations.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on by default for Small and Medium Business</w:t>
      </w:r>
      <w:r>
        <w:t xml:space="preserve"> </w:t>
      </w:r>
      <w:r>
        <w:t xml:space="preserve">licenses (Business Basic, Business Standard, Business Premium), and not for</w:t>
      </w:r>
      <w:r>
        <w:t xml:space="preserve"> </w:t>
      </w:r>
      <w:r>
        <w:t xml:space="preserve">unmanaged tenants using enterprise free trials</w:t>
      </w:r>
      <w:r>
        <w:t xml:space="preserve"> </w:t>
      </w:r>
      <w:r>
        <w:t xml:space="preserve">(</w:t>
      </w:r>
      <w:hyperlink r:id="rId9">
        <w:r>
          <w:rPr>
            <w:rStyle w:val="Hyperlink"/>
          </w:rPr>
          <w:t xml:space="preserve">turn auditing on or off</w:t>
        </w:r>
      </w:hyperlink>
      <w:r>
        <w:t xml:space="preserve">).</w:t>
      </w:r>
    </w:p>
    <w:p>
      <w:pPr>
        <w:pStyle w:val="SourceCode"/>
      </w:pPr>
      <w:r>
        <w:rPr>
          <w:rStyle w:val="CommentTok"/>
        </w:rPr>
        <w:t xml:space="preserve"># Must be Exchange Online PowerShell.</w:t>
      </w:r>
      <w:r>
        <w:br/>
      </w:r>
      <w:r>
        <w:rPr>
          <w:rStyle w:val="NormalTok"/>
        </w:rPr>
        <w:t xml:space="preserve">Connect-ExchangeOnline</w:t>
      </w:r>
      <w:r>
        <w:br/>
      </w:r>
      <w:r>
        <w:rPr>
          <w:rStyle w:val="NormalTok"/>
        </w:rPr>
        <w:t xml:space="preserve">Get-AdminAuditLogConfig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Format-List</w:t>
      </w:r>
      <w:r>
        <w:rPr>
          <w:rStyle w:val="NormalTok"/>
        </w:rPr>
        <w:t xml:space="preserve"> UnifiedAuditLogIngestionEnabled</w:t>
      </w:r>
    </w:p>
    <w:p>
      <w:pPr>
        <w:pStyle w:val="FirstParagraph"/>
      </w:pPr>
      <w:r>
        <w:rPr>
          <w:rStyle w:val="VerbatimChar"/>
        </w:rPr>
        <w:t xml:space="preserve">True</w:t>
      </w:r>
      <w:r>
        <w:t xml:space="preserve"> </w:t>
      </w:r>
      <w:r>
        <w:t xml:space="preserve">means auditing is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Run this in Exchange Online PowerShell, not Security &amp; Compliance PowerShell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rStyle w:val="VerbatimChar"/>
              </w:rPr>
              <w:t xml:space="preserve">Get-AdminAuditLogConfig</w:t>
            </w:r>
            <w:r>
              <w:t xml:space="preserve"> </w:t>
            </w:r>
            <w:r>
              <w:t xml:space="preserve">exists in both modules. In Security &amp; Compliance</w:t>
            </w:r>
            <w:r>
              <w:t xml:space="preserve"> </w:t>
            </w:r>
            <w:r>
              <w:t xml:space="preserve">PowerShell the</w:t>
            </w:r>
            <w:r>
              <w:t xml:space="preserve"> </w:t>
            </w:r>
            <w:r>
              <w:rPr>
                <w:rStyle w:val="VerbatimChar"/>
              </w:rPr>
              <w:t xml:space="preserve">UnifiedAuditLogIngestionEnabled</w:t>
            </w:r>
            <w:r>
              <w:t xml:space="preserve"> </w:t>
            </w:r>
            <w:r>
              <w:t xml:space="preserve">property is</w:t>
            </w:r>
            <w:r>
              <w:t xml:space="preserve"> </w:t>
            </w:r>
            <w:r>
              <w:rPr>
                <w:b/>
                <w:bCs/>
              </w:rPr>
              <w:t xml:space="preserve">always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False</w:t>
            </w:r>
            <w:r>
              <w:t xml:space="preserve">, even when auditing is fully enabled</w:t>
            </w:r>
            <w:r>
              <w:t xml:space="preserve"> </w:t>
            </w:r>
            <w:r>
              <w:t xml:space="preserve">(</w:t>
            </w:r>
            <w:hyperlink r:id="rId13">
              <w:r>
                <w:rPr>
                  <w:rStyle w:val="Hyperlink"/>
                </w:rPr>
                <w:t xml:space="preserve">turn auditing on or off</w:t>
              </w:r>
            </w:hyperlink>
            <w:r>
              <w:t xml:space="preserve">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produces a specific and expensive false negative: an operator confirms</w:t>
            </w:r>
            <w:r>
              <w:t xml:space="preserve"> </w:t>
            </w:r>
            <w:r>
              <w:t xml:space="preserve">“auditing is off,”</w:t>
            </w:r>
            <w:r>
              <w:t xml:space="preserve"> </w:t>
            </w:r>
            <w:r>
              <w:t xml:space="preserve">enables something that was already enabled, and — worse —</w:t>
            </w:r>
            <w:r>
              <w:t xml:space="preserve"> </w:t>
            </w:r>
            <w:r>
              <w:t xml:space="preserve">an assessor or an automated check records a finding against a compliant</w:t>
            </w:r>
            <w:r>
              <w:t xml:space="preserve"> </w:t>
            </w:r>
            <w:r>
              <w:t xml:space="preserve">tenant. Confirm which module the session is connected to before trusting the</w:t>
            </w:r>
            <w:r>
              <w:t xml:space="preserve"> </w:t>
            </w:r>
            <w:r>
              <w:t xml:space="preserve">output.</w:t>
            </w:r>
          </w:p>
          <w:p/>
        </w:tc>
      </w:tr>
    </w:tbl>
    <w:bookmarkEnd w:id="14"/>
    <w:bookmarkStart w:id="19" w:name="step-2-enable-if-needed"/>
    <w:p>
      <w:pPr>
        <w:pStyle w:val="Heading2"/>
      </w:pPr>
      <w:r>
        <w:t xml:space="preserve">Step 2 — Enable if needed</w:t>
      </w:r>
    </w:p>
    <w:p>
      <w:pPr>
        <w:pStyle w:val="FirstParagraph"/>
      </w:pPr>
      <w:r>
        <w:t xml:space="preserve">Portal path:</w:t>
      </w:r>
      <w:r>
        <w:t xml:space="preserve"> </w:t>
      </w:r>
      <w:hyperlink r:id="rId15">
        <w:r>
          <w:rPr>
            <w:rStyle w:val="Hyperlink"/>
          </w:rPr>
          <w:t xml:space="preserve">Microsoft Purview portal</w:t>
        </w:r>
      </w:hyperlink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Audit</w:t>
      </w:r>
      <w:r>
        <w:t xml:space="preserve"> </w:t>
      </w:r>
      <w:r>
        <w:t xml:space="preserve">solution card → select the</w:t>
      </w:r>
      <w:r>
        <w:t xml:space="preserve"> </w:t>
      </w:r>
      <w:r>
        <w:rPr>
          <w:b/>
          <w:bCs/>
        </w:rPr>
        <w:t xml:space="preserve">Start recording user and admin</w:t>
      </w:r>
      <w:r>
        <w:rPr>
          <w:b/>
          <w:bCs/>
        </w:rPr>
        <w:t xml:space="preserve"> </w:t>
      </w:r>
      <w:r>
        <w:rPr>
          <w:b/>
          <w:bCs/>
        </w:rPr>
        <w:t xml:space="preserve">activity</w:t>
      </w:r>
      <w:r>
        <w:t xml:space="preserve"> </w:t>
      </w:r>
      <w:r>
        <w:t xml:space="preserve">banner.</w:t>
      </w:r>
    </w:p>
    <w:p>
      <w:pPr>
        <w:pStyle w:val="BodyText"/>
      </w:pPr>
      <w:r>
        <w:t xml:space="preserve">PowerShell:</w:t>
      </w:r>
    </w:p>
    <w:p>
      <w:pPr>
        <w:pStyle w:val="SourceCode"/>
      </w:pPr>
      <w:r>
        <w:rPr>
          <w:rStyle w:val="NormalTok"/>
        </w:rPr>
        <w:t xml:space="preserve">Connect-ExchangeOnline</w:t>
      </w:r>
      <w:r>
        <w:br/>
      </w:r>
      <w:r>
        <w:rPr>
          <w:rStyle w:val="NormalTok"/>
        </w:rPr>
        <w:t xml:space="preserve">Set-AdminAuditLogConfig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UnifiedAuditLogIngestionEnabled </w:t>
      </w:r>
      <w:r>
        <w:rPr>
          <w:rStyle w:val="VariableTok"/>
        </w:rPr>
        <w:t xml:space="preserve">$true</w:t>
      </w:r>
    </w:p>
    <w:p>
      <w:pPr>
        <w:pStyle w:val="FirstParagraph"/>
      </w:pPr>
      <w:r>
        <w:t xml:space="preserve">Enabling takes up to</w:t>
      </w:r>
      <w:r>
        <w:t xml:space="preserve"> </w:t>
      </w:r>
      <w:r>
        <w:rPr>
          <w:b/>
          <w:bCs/>
        </w:rPr>
        <w:t xml:space="preserve">60 minutes</w:t>
      </w:r>
      <w:r>
        <w:t xml:space="preserve"> </w:t>
      </w:r>
      <w:r>
        <w:t xml:space="preserve">to take effect, and audit events may take</w:t>
      </w:r>
      <w:r>
        <w:t xml:space="preserve"> </w:t>
      </w:r>
      <w:r>
        <w:t xml:space="preserve">several more hours to become searchable. You need the</w:t>
      </w:r>
      <w:r>
        <w:t xml:space="preserve"> </w:t>
      </w:r>
      <w:r>
        <w:rPr>
          <w:b/>
          <w:bCs/>
        </w:rPr>
        <w:t xml:space="preserve">Audit Logs</w:t>
      </w:r>
      <w:r>
        <w:t xml:space="preserve"> </w:t>
      </w:r>
      <w:r>
        <w:t xml:space="preserve">role in</w:t>
      </w:r>
      <w:r>
        <w:t xml:space="preserve"> </w:t>
      </w:r>
      <w:r>
        <w:t xml:space="preserve">Exchange Online — held by default by the</w:t>
      </w:r>
      <w:r>
        <w:t xml:space="preserve"> </w:t>
      </w:r>
      <w:r>
        <w:rPr>
          <w:i/>
          <w:iCs/>
        </w:rPr>
        <w:t xml:space="preserve">Compliance Management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Organization Management</w:t>
      </w:r>
      <w:r>
        <w:t xml:space="preserve"> </w:t>
      </w:r>
      <w:r>
        <w:t xml:space="preserve">role groups.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Turning auditing off breaks everything downstream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auditing disabled you cannot use the Office 365 Management Activity API</w:t>
            </w:r>
            <w:r>
              <w:t xml:space="preserve"> </w:t>
            </w:r>
            <w:r>
              <w:t xml:space="preserve">or Microsoft Sentinel to access audit data, Purview audit searches return no</w:t>
            </w:r>
            <w:r>
              <w:t xml:space="preserve"> </w:t>
            </w:r>
            <w:r>
              <w:t xml:space="preserve">results, and</w:t>
            </w:r>
            <w:r>
              <w:t xml:space="preserve"> </w:t>
            </w:r>
            <w:r>
              <w:rPr>
                <w:rStyle w:val="VerbatimChar"/>
              </w:rPr>
              <w:t xml:space="preserve">Search-UnifiedAuditLog</w:t>
            </w:r>
            <w:r>
              <w:t xml:space="preserve"> </w:t>
            </w:r>
            <w:r>
              <w:t xml:space="preserve">returns nothing</w:t>
            </w:r>
            <w:r>
              <w:t xml:space="preserve"> </w:t>
            </w:r>
            <w:r>
              <w:t xml:space="preserve">(</w:t>
            </w:r>
            <w:hyperlink r:id="rId9">
              <w:r>
                <w:rPr>
                  <w:rStyle w:val="Hyperlink"/>
                </w:rPr>
                <w:t xml:space="preserve">turn auditing on or off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Changes to the auditing status are themselves audited. Include</w:t>
            </w:r>
            <w:r>
              <w:t xml:space="preserve"> </w:t>
            </w:r>
            <w:r>
              <w:rPr>
                <w:rStyle w:val="VerbatimChar"/>
              </w:rPr>
              <w:t xml:space="preserve">Set-AdminAuditLogConfig</w:t>
            </w:r>
            <w:r>
              <w:t xml:space="preserve"> </w:t>
            </w:r>
            <w:r>
              <w:t xml:space="preserve">in the SIEM’s high-severity detection set — an</w:t>
            </w:r>
            <w:r>
              <w:t xml:space="preserve"> </w:t>
            </w:r>
            <w:r>
              <w:t xml:space="preserve">adversary disabling tenant auditing is a pre-exfiltration signal, and it is</w:t>
            </w:r>
            <w:r>
              <w:t xml:space="preserve"> </w:t>
            </w:r>
            <w:r>
              <w:t xml:space="preserve">one of the few events that destroys the evidence of everything that follows: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Search-UnifiedAuditLog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Operations Set-AdminAuditLogConfig `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StartDate </w:t>
            </w:r>
            <w:r>
              <w:rPr>
                <w:rStyle w:val="OperatorTok"/>
              </w:rPr>
              <w:t xml:space="preserve">(</w:t>
            </w:r>
            <w:r>
              <w:rPr>
                <w:rStyle w:val="FunctionTok"/>
              </w:rPr>
              <w:t xml:space="preserve">Get-Date</w:t>
            </w:r>
            <w:r>
              <w:rPr>
                <w:rStyle w:val="OperatorTok"/>
              </w:rPr>
              <w:t xml:space="preserve">).</w:t>
            </w:r>
            <w:r>
              <w:rPr>
                <w:rStyle w:val="FunctionTok"/>
              </w:rPr>
              <w:t xml:space="preserve">AddDays</w:t>
            </w:r>
            <w:r>
              <w:rPr>
                <w:rStyle w:val="OperatorTok"/>
              </w:rPr>
              <w:t xml:space="preserve">(-</w:t>
            </w:r>
            <w:r>
              <w:rPr>
                <w:rStyle w:val="DecValTok"/>
              </w:rPr>
              <w:t xml:space="preserve">90</w:t>
            </w:r>
            <w:r>
              <w:rPr>
                <w:rStyle w:val="OperatorTok"/>
              </w:rPr>
              <w:t xml:space="preserve">)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EndDate </w:t>
            </w:r>
            <w:r>
              <w:rPr>
                <w:rStyle w:val="OperatorTok"/>
              </w:rPr>
              <w:t xml:space="preserve">(</w:t>
            </w:r>
            <w:r>
              <w:rPr>
                <w:rStyle w:val="FunctionTok"/>
              </w:rPr>
              <w:t xml:space="preserve">Get-Date</w:t>
            </w:r>
            <w:r>
              <w:rPr>
                <w:rStyle w:val="OperatorTok"/>
              </w:rPr>
              <w:t xml:space="preserve">)</w:t>
            </w:r>
          </w:p>
          <w:p/>
        </w:tc>
      </w:tr>
    </w:tbl>
    <w:bookmarkEnd w:id="19"/>
    <w:bookmarkStart w:id="25" w:name="step-3-register-the-app-for-api-access"/>
    <w:p>
      <w:pPr>
        <w:pStyle w:val="Heading2"/>
      </w:pPr>
      <w:r>
        <w:t xml:space="preserve">Step 3 — Register the app for API access</w:t>
      </w:r>
    </w:p>
    <w:p>
      <w:pPr>
        <w:pStyle w:val="FirstParagraph"/>
      </w:pPr>
      <w:r>
        <w:t xml:space="preserve">The Management Activity API is app-only. Register an application in Entra ID</w:t>
      </w:r>
      <w:r>
        <w:t xml:space="preserve"> </w:t>
      </w:r>
      <w:r>
        <w:t xml:space="preserve">in the</w:t>
      </w:r>
      <w:r>
        <w:t xml:space="preserve"> </w:t>
      </w:r>
      <w:r>
        <w:rPr>
          <w:b/>
          <w:bCs/>
        </w:rPr>
        <w:t xml:space="preserve">same national cloud as the tenant</w:t>
      </w:r>
      <w:r>
        <w:t xml:space="preserve">, grant it Office 365 Management</w:t>
      </w:r>
      <w:r>
        <w:t xml:space="preserve"> </w:t>
      </w:r>
      <w:r>
        <w:t xml:space="preserve">APIs permissions, and admin-consent them.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GCC (current boundary)</w:t>
            </w:r>
          </w:p>
        </w:tc>
        <w:tc>
          <w:tcPr/>
          <w:p>
            <w:pPr>
              <w:pStyle w:val="Compact"/>
            </w:pPr>
            <w:r>
              <w:t xml:space="preserve">GCC High</w:t>
            </w:r>
          </w:p>
        </w:tc>
        <w:tc>
          <w:tcPr/>
          <w:p>
            <w:pPr>
              <w:pStyle w:val="Compact"/>
            </w:pPr>
            <w:r>
              <w:t xml:space="preserve">DoD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 audience / 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https://manage-gcc.office.com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https://manage.office365.us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https://manage.protection.apps.mil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https://login.windows.net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https://login.microsoftonline.us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https://login.microsoftonline.us</w:t>
            </w:r>
          </w:p>
        </w:tc>
      </w:tr>
    </w:tbl>
    <w:p>
      <w:pPr>
        <w:pStyle w:val="BodyText"/>
      </w:pPr>
      <w:r>
        <w:t xml:space="preserve">Endpoint and authority values from the</w:t>
      </w:r>
      <w:r>
        <w:t xml:space="preserve"> </w:t>
      </w:r>
      <w:hyperlink r:id="rId20">
        <w:r>
          <w:rPr>
            <w:rStyle w:val="Hyperlink"/>
          </w:rPr>
          <w:t xml:space="preserve">Management Activity API troubleshooting guide</w:t>
        </w:r>
      </w:hyperlink>
      <w:r>
        <w:t xml:space="preserve"> </w:t>
      </w:r>
      <w:r>
        <w:t xml:space="preserve">and the</w:t>
      </w:r>
      <w:r>
        <w:t xml:space="preserve"> </w:t>
      </w:r>
      <w:hyperlink r:id="rId21">
        <w:r>
          <w:rPr>
            <w:rStyle w:val="Hyperlink"/>
          </w:rPr>
          <w:t xml:space="preserve">Office 365 Management API collection reference</w:t>
        </w:r>
      </w:hyperlink>
      <w:r>
        <w:t xml:space="preserve">.</w:t>
      </w:r>
      <w:r>
        <w:t xml:space="preserve"> </w:t>
      </w:r>
      <w:r>
        <w:t xml:space="preserve">The commercial-cloud audience is</w:t>
      </w:r>
      <w:r>
        <w:t xml:space="preserve"> </w:t>
      </w:r>
      <w:r>
        <w:rPr>
          <w:rStyle w:val="VerbatimChar"/>
        </w:rPr>
        <w:t xml:space="preserve">https://manage.office.com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GCC differs here even though it matches worldwide elsewhere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Microsoft Graph and the Azure portal use worldwide endpoints for GCC. The</w:t>
            </w:r>
            <w:r>
              <w:t xml:space="preserve"> </w:t>
            </w:r>
            <w:r>
              <w:t xml:space="preserve">Management Activity API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— GCC has its own</w:t>
            </w:r>
            <w:r>
              <w:t xml:space="preserve"> </w:t>
            </w:r>
            <w:r>
              <w:rPr>
                <w:rStyle w:val="VerbatimChar"/>
              </w:rPr>
              <w:t xml:space="preserve">manage-gcc.office.com</w:t>
            </w:r>
            <w:r>
              <w:t xml:space="preserve"> </w:t>
            </w:r>
            <w:r>
              <w:t xml:space="preserve">endpoint. This is the single most common cross-cloud misconfiguration on this</w:t>
            </w:r>
            <w:r>
              <w:t xml:space="preserve"> </w:t>
            </w:r>
            <w:r>
              <w:t xml:space="preserve">surface, because the Graph endpoint working reinforces the assumption that</w:t>
            </w:r>
            <w:r>
              <w:t xml:space="preserve"> </w:t>
            </w:r>
            <w:r>
              <w:t xml:space="preserve">everything else is worldwide too.</w:t>
            </w:r>
          </w:p>
          <w:p/>
        </w:tc>
      </w:tr>
    </w:tbl>
    <w:bookmarkEnd w:id="25"/>
    <w:bookmarkStart w:id="29" w:name="step-4-subscribe-to-content-types"/>
    <w:p>
      <w:pPr>
        <w:pStyle w:val="Heading2"/>
      </w:pPr>
      <w:r>
        <w:t xml:space="preserve">Step 4 — Subscribe to content types</w:t>
      </w:r>
    </w:p>
    <w:p>
      <w:pPr>
        <w:pStyle w:val="FirstParagraph"/>
      </w:pPr>
      <w:r>
        <w:t xml:space="preserve">Unlike Entra diagnostic settings, the Management Activity API has no</w:t>
      </w:r>
      <w:r>
        <w:t xml:space="preserve"> </w:t>
      </w:r>
      <w:r>
        <w:t xml:space="preserve">per-event-category selection. You subscribe per</w:t>
      </w:r>
      <w:r>
        <w:t xml:space="preserve"> </w:t>
      </w:r>
      <w:r>
        <w:rPr>
          <w:b/>
          <w:bCs/>
        </w:rPr>
        <w:t xml:space="preserve">content type</w:t>
      </w:r>
      <w:r>
        <w:t xml:space="preserve">, and each</w:t>
      </w:r>
      <w:r>
        <w:t xml:space="preserve"> </w:t>
      </w:r>
      <w:r>
        <w:t xml:space="preserve">subscription is per tenant.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Content type</w:t>
            </w:r>
          </w:p>
        </w:tc>
        <w:tc>
          <w:tcPr/>
          <w:p>
            <w:pPr>
              <w:pStyle w:val="Compact"/>
            </w:pPr>
            <w:r>
              <w:t xml:space="preserve">Workload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Audit.AzureActiveDirectory</w:t>
            </w:r>
          </w:p>
        </w:tc>
        <w:tc>
          <w:tcPr/>
          <w:p>
            <w:pPr>
              <w:pStyle w:val="Compact"/>
            </w:pPr>
            <w:r>
              <w:t xml:space="preserve">User sign-in and directory-change events as recorded by M365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Audit.Exchange</w:t>
            </w:r>
          </w:p>
        </w:tc>
        <w:tc>
          <w:tcPr/>
          <w:p>
            <w:pPr>
              <w:pStyle w:val="Compact"/>
            </w:pPr>
            <w:r>
              <w:t xml:space="preserve">Mailbox activity — reads, deletes, rule changes, admin actions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Audit.SharePoint</w:t>
            </w:r>
          </w:p>
        </w:tc>
        <w:tc>
          <w:tcPr/>
          <w:p>
            <w:pPr>
              <w:pStyle w:val="Compact"/>
            </w:pPr>
            <w:r>
              <w:t xml:space="preserve">SharePoint and OneDrive file access, edits, sharing, downloads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Audit.General</w:t>
            </w:r>
          </w:p>
        </w:tc>
        <w:tc>
          <w:tcPr/>
          <w:p>
            <w:pPr>
              <w:pStyle w:val="Compact"/>
            </w:pPr>
            <w:r>
              <w:t xml:space="preserve">All other workloads — Teams, Power Platform, Purview, Forms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DLP.All</w:t>
            </w:r>
          </w:p>
        </w:tc>
        <w:tc>
          <w:tcPr/>
          <w:p>
            <w:pPr>
              <w:pStyle w:val="Compact"/>
            </w:pPr>
            <w:r>
              <w:t xml:space="preserve">Data Loss Prevention policy matches across all workloads</w:t>
            </w:r>
          </w:p>
        </w:tc>
      </w:tr>
    </w:tbl>
    <w:p>
      <w:pPr>
        <w:pStyle w:val="BodyText"/>
      </w:pPr>
      <w:r>
        <w:t xml:space="preserve">Content types from the</w:t>
      </w:r>
      <w:r>
        <w:t xml:space="preserve"> </w:t>
      </w:r>
      <w:hyperlink r:id="rId26">
        <w:r>
          <w:rPr>
            <w:rStyle w:val="Hyperlink"/>
          </w:rPr>
          <w:t xml:space="preserve">Management Activity API reference</w:t>
        </w:r>
      </w:hyperlink>
      <w:r>
        <w:t xml:space="preserve">.</w:t>
      </w:r>
    </w:p>
    <w:p>
      <w:pPr>
        <w:pStyle w:val="BodyText"/>
      </w:pPr>
      <w:r>
        <w:t xml:space="preserve">Start a subscription:</w:t>
      </w:r>
    </w:p>
    <w:p>
      <w:pPr>
        <w:pStyle w:val="SourceCode"/>
      </w:pPr>
      <w:r>
        <w:rPr>
          <w:rStyle w:val="VariableTok"/>
        </w:rPr>
        <w:t xml:space="preserve">$tenantGUID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"&lt;tenant-guid&gt;"</w:t>
      </w:r>
      <w:r>
        <w:br/>
      </w:r>
      <w:r>
        <w:rPr>
          <w:rStyle w:val="VariableTok"/>
        </w:rPr>
        <w:t xml:space="preserve">$resource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"https://manage-gcc.office.com"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GCC; see the endpoint table</w:t>
      </w:r>
      <w:r>
        <w:br/>
      </w:r>
      <w:r>
        <w:br/>
      </w:r>
      <w:r>
        <w:rPr>
          <w:rStyle w:val="ControlFlowTok"/>
        </w:rPr>
        <w:t xml:space="preserve">foreach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$contentType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'Audit.AzureActiveDirectory'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'Audit.Exchange'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'Audit.SharePoint'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'Audit.General'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'DLP.All'</w:t>
      </w:r>
      <w:r>
        <w:br/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Invoke-WebRequest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$headerParams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$resource</w:t>
      </w:r>
      <w:r>
        <w:rPr>
          <w:rStyle w:val="StringTok"/>
        </w:rPr>
        <w:t xml:space="preserve">/api/v1.0/</w:t>
      </w:r>
      <w:r>
        <w:rPr>
          <w:rStyle w:val="VariableTok"/>
        </w:rPr>
        <w:t xml:space="preserve">$tenantGUID</w:t>
      </w:r>
      <w:r>
        <w:rPr>
          <w:rStyle w:val="StringTok"/>
        </w:rPr>
        <w:t xml:space="preserve">/activity/feed/subscriptions/start?contentType=</w:t>
      </w:r>
      <w:r>
        <w:rPr>
          <w:rStyle w:val="VariableTok"/>
        </w:rPr>
        <w:t xml:space="preserve">$contentType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Start-Sleep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Seconds </w:t>
      </w:r>
      <w:r>
        <w:rPr>
          <w:rStyle w:val="DecValTok"/>
        </w:rPr>
        <w:t xml:space="preserve">900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15-minute throttle between start requests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Confirm what is actually subscribed:</w:t>
      </w:r>
    </w:p>
    <w:p>
      <w:pPr>
        <w:pStyle w:val="SourceCode"/>
      </w:pPr>
      <w:r>
        <w:rPr>
          <w:rStyle w:val="FunctionTok"/>
        </w:rPr>
        <w:t xml:space="preserve">Invoke-WebRequest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$headerParams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$resource</w:t>
      </w:r>
      <w:r>
        <w:rPr>
          <w:rStyle w:val="StringTok"/>
        </w:rPr>
        <w:t xml:space="preserve">/api/v1.0/</w:t>
      </w:r>
      <w:r>
        <w:rPr>
          <w:rStyle w:val="VariableTok"/>
        </w:rPr>
        <w:t xml:space="preserve">$tenantGUID</w:t>
      </w:r>
      <w:r>
        <w:rPr>
          <w:rStyle w:val="StringTok"/>
        </w:rPr>
        <w:t xml:space="preserve">/activity/feed/subscriptions/list"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timing rules that break first-time integrations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15-minute throttle.</w:t>
            </w:r>
            <w:r>
              <w:t xml:space="preserve"> </w:t>
            </w:r>
            <w:r>
              <w:t xml:space="preserve">After submitting a subscription-start request, a</w:t>
            </w:r>
            <w:r>
              <w:t xml:space="preserve"> </w:t>
            </w:r>
            <w:r>
              <w:t xml:space="preserve">15-minute wait is required before another can be made. Stopping a subscription</w:t>
            </w:r>
            <w:r>
              <w:t xml:space="preserve"> </w:t>
            </w:r>
            <w:r>
              <w:t xml:space="preserve">is not throttled.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12-hour first blob.</w:t>
            </w:r>
            <w:r>
              <w:t xml:space="preserve"> </w:t>
            </w:r>
            <w:r>
              <w:t xml:space="preserve">“When a subscription is created, it can take up to 12</w:t>
            </w:r>
            <w:r>
              <w:t xml:space="preserve"> </w:t>
            </w:r>
            <w:r>
              <w:t xml:space="preserve">hours for the first content blobs to become available for that subscription.”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Both from the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Management Activity API reference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 team that subscribes all five content types in a loop and declares failure</w:t>
            </w:r>
            <w:r>
              <w:t xml:space="preserve"> </w:t>
            </w:r>
            <w:r>
              <w:t xml:space="preserve">an hour later has hit both rules at once — the loop was throttled and the data</w:t>
            </w:r>
            <w:r>
              <w:t xml:space="preserve"> </w:t>
            </w:r>
            <w:r>
              <w:t xml:space="preserve">was never due yet.</w:t>
            </w:r>
          </w:p>
          <w:p/>
        </w:tc>
      </w:tr>
    </w:tbl>
    <w:bookmarkEnd w:id="29"/>
    <w:bookmarkStart w:id="34" w:name="step-5-retrieve-content"/>
    <w:p>
      <w:pPr>
        <w:pStyle w:val="Heading2"/>
      </w:pPr>
      <w:r>
        <w:t xml:space="preserve">Step 5 — Retrieve content</w:t>
      </w:r>
    </w:p>
    <w:p>
      <w:pPr>
        <w:pStyle w:val="FirstParagraph"/>
      </w:pPr>
      <w:r>
        <w:t xml:space="preserve">Poll for available blobs, or register a webhook and be notified.</w:t>
      </w:r>
    </w:p>
    <w:p>
      <w:pPr>
        <w:pStyle w:val="SourceCode"/>
      </w:pPr>
      <w:r>
        <w:rPr>
          <w:rStyle w:val="FunctionTok"/>
        </w:rPr>
        <w:t xml:space="preserve">Invoke-WebRequest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$headerParams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$resource</w:t>
      </w:r>
      <w:r>
        <w:rPr>
          <w:rStyle w:val="StringTok"/>
        </w:rPr>
        <w:t xml:space="preserve">/api/v1.0/</w:t>
      </w:r>
      <w:r>
        <w:rPr>
          <w:rStyle w:val="VariableTok"/>
        </w:rPr>
        <w:t xml:space="preserve">$tenantGUID</w:t>
      </w:r>
      <w:r>
        <w:rPr>
          <w:rStyle w:val="StringTok"/>
        </w:rPr>
        <w:t xml:space="preserve">/activity/feed/subscriptions/content?contentType=Audit.AzureActiveDirectory&amp;startTime=2026-08-26T00:00&amp;endTime=2026-08-27T00:00"</w:t>
      </w:r>
    </w:p>
    <w:p>
      <w:pPr>
        <w:pStyle w:val="FirstParagraph"/>
      </w:pPr>
      <w:r>
        <w:t xml:space="preserve">Constraints from the</w:t>
      </w:r>
      <w:r>
        <w:t xml:space="preserve"> </w:t>
      </w:r>
      <w:hyperlink r:id="rId30">
        <w:r>
          <w:rPr>
            <w:rStyle w:val="Hyperlink"/>
          </w:rPr>
          <w:t xml:space="preserve">API reference</w:t>
        </w:r>
      </w:hyperlink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startTime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endTime</w:t>
      </w:r>
      <w:r>
        <w:t xml:space="preserve"> </w:t>
      </w:r>
      <w:r>
        <w:t xml:space="preserve">must both be supplied or both omitted.</w:t>
      </w:r>
    </w:p>
    <w:p>
      <w:pPr>
        <w:pStyle w:val="Compact"/>
        <w:numPr>
          <w:ilvl w:val="0"/>
          <w:numId w:val="1001"/>
        </w:numPr>
      </w:pPr>
      <w:r>
        <w:t xml:space="preserve">They must be no more than</w:t>
      </w:r>
      <w:r>
        <w:t xml:space="preserve"> </w:t>
      </w:r>
      <w:r>
        <w:rPr>
          <w:b/>
          <w:bCs/>
        </w:rPr>
        <w:t xml:space="preserve">24 hours</w:t>
      </w:r>
      <w:r>
        <w:t xml:space="preserve"> </w:t>
      </w:r>
      <w:r>
        <w:t xml:space="preserve">apart, with</w:t>
      </w:r>
      <w:r>
        <w:t xml:space="preserve"> </w:t>
      </w:r>
      <w:r>
        <w:rPr>
          <w:rStyle w:val="VerbatimChar"/>
        </w:rPr>
        <w:t xml:space="preserve">startTime</w:t>
      </w:r>
      <w:r>
        <w:t xml:space="preserve"> </w:t>
      </w:r>
      <w:r>
        <w:t xml:space="preserve">no more than</w:t>
      </w:r>
      <w:r>
        <w:t xml:space="preserve"> </w:t>
      </w:r>
      <w:r>
        <w:rPr>
          <w:b/>
          <w:bCs/>
        </w:rPr>
        <w:t xml:space="preserve">7 days</w:t>
      </w:r>
      <w:r>
        <w:t xml:space="preserve"> </w:t>
      </w:r>
      <w:r>
        <w:t xml:space="preserve">in the past. Requests spanning more than 24 hours</w:t>
      </w:r>
      <w:r>
        <w:t xml:space="preserve"> </w:t>
      </w:r>
      <w:r>
        <w:t xml:space="preserve">“could be</w:t>
      </w:r>
      <w:r>
        <w:t xml:space="preserve"> </w:t>
      </w:r>
      <w:r>
        <w:t xml:space="preserve">partial results and should not be taken into account.”</w:t>
      </w:r>
    </w:p>
    <w:p>
      <w:pPr>
        <w:pStyle w:val="Compact"/>
        <w:numPr>
          <w:ilvl w:val="0"/>
          <w:numId w:val="1001"/>
        </w:numPr>
      </w:pPr>
      <w:r>
        <w:t xml:space="preserve">Results paginate via a</w:t>
      </w:r>
      <w:r>
        <w:t xml:space="preserve"> </w:t>
      </w:r>
      <w:r>
        <w:rPr>
          <w:rStyle w:val="VerbatimChar"/>
        </w:rPr>
        <w:t xml:space="preserve">NextPageUri</w:t>
      </w:r>
      <w:r>
        <w:t xml:space="preserve"> </w:t>
      </w:r>
      <w:r>
        <w:t xml:space="preserve">response header. Keep following it</w:t>
      </w:r>
      <w:r>
        <w:t xml:space="preserve"> </w:t>
      </w:r>
      <w:r>
        <w:t xml:space="preserve">until a response arrives without one — a single page is not the full set.</w:t>
      </w:r>
    </w:p>
    <w:p>
      <w:pPr>
        <w:pStyle w:val="Compact"/>
        <w:numPr>
          <w:ilvl w:val="0"/>
          <w:numId w:val="1001"/>
        </w:numPr>
      </w:pPr>
      <w:r>
        <w:t xml:space="preserve">Set</w:t>
      </w:r>
      <w:r>
        <w:t xml:space="preserve"> </w:t>
      </w:r>
      <w:r>
        <w:rPr>
          <w:rStyle w:val="VerbatimChar"/>
        </w:rPr>
        <w:t xml:space="preserve">PublisherIdentifier</w:t>
      </w:r>
      <w:r>
        <w:t xml:space="preserve"> </w:t>
      </w:r>
      <w:r>
        <w:t xml:space="preserve">to your organization’s tenant GUID on every</w:t>
      </w:r>
      <w:r>
        <w:t xml:space="preserve"> </w:t>
      </w:r>
      <w:r>
        <w:t xml:space="preserve">request to get a dedicated throttling quota. Requests without it share one</w:t>
      </w:r>
      <w:r>
        <w:t xml:space="preserve"> </w:t>
      </w:r>
      <w:r>
        <w:t xml:space="preserve">global quota with every other caller who also omitted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Events are not ordered, and this is by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“The actions and events contained in the content blobs will not necessarily</w:t>
            </w:r>
            <w:r>
              <w:t xml:space="preserve"> </w:t>
            </w:r>
            <w:r>
              <w:t xml:space="preserve">appear in the order in which they occurred. One content blob can contain</w:t>
            </w:r>
            <w:r>
              <w:t xml:space="preserve"> </w:t>
            </w:r>
            <w:r>
              <w:t xml:space="preserve">actions and events that occurred prior to the actions and events contained in</w:t>
            </w:r>
            <w:r>
              <w:t xml:space="preserve"> </w:t>
            </w:r>
            <w:r>
              <w:t xml:space="preserve">an earlier content blob”</w:t>
            </w:r>
            <w:r>
              <w:t xml:space="preserve"> </w:t>
            </w:r>
            <w:r>
              <w:t xml:space="preserve">(</w:t>
            </w:r>
            <w:hyperlink r:id="rId26">
              <w:r>
                <w:rPr>
                  <w:rStyle w:val="Hyperlink"/>
                </w:rPr>
                <w:t xml:space="preserve">API reference</w:t>
              </w:r>
            </w:hyperlink>
            <w:r>
              <w:t xml:space="preserve">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Any ingestion pipeline that assumes blob order equals event order, or that</w:t>
            </w:r>
            <w:r>
              <w:t xml:space="preserve"> </w:t>
            </w:r>
            <w:r>
              <w:t xml:space="preserve">uses</w:t>
            </w:r>
            <w:r>
              <w:t xml:space="preserve"> </w:t>
            </w:r>
            <w:r>
              <w:t xml:space="preserve">“last blob retrieved”</w:t>
            </w:r>
            <w:r>
              <w:t xml:space="preserve"> </w:t>
            </w:r>
            <w:r>
              <w:t xml:space="preserve">as a high-water mark, will silently drop events.</w:t>
            </w:r>
            <w:r>
              <w:t xml:space="preserve"> </w:t>
            </w:r>
            <w:r>
              <w:t xml:space="preserve">Track ingestion by</w:t>
            </w:r>
            <w:r>
              <w:t xml:space="preserve"> </w:t>
            </w:r>
            <w:r>
              <w:rPr>
                <w:rStyle w:val="VerbatimChar"/>
              </w:rPr>
              <w:t xml:space="preserve">contentId</w:t>
            </w:r>
            <w:r>
              <w:t xml:space="preserve">, deduplicate on it, and re-scan a trailing</w:t>
            </w:r>
            <w:r>
              <w:t xml:space="preserve"> </w:t>
            </w:r>
            <w:r>
              <w:t xml:space="preserve">window. This is a direct instance of the the program decision determinism requirement — no</w:t>
            </w:r>
            <w:r>
              <w:t xml:space="preserve"> </w:t>
            </w:r>
            <w:r>
              <w:t xml:space="preserve">silent drops — that the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Telemetry Modernization Spec</w:t>
              </w:r>
            </w:hyperlink>
            <w:r>
              <w:t xml:space="preserve"> </w:t>
            </w:r>
            <w:r>
              <w:t xml:space="preserve">imposes on every telemetry adapter.</w:t>
            </w:r>
          </w:p>
          <w:p/>
        </w:tc>
      </w:tr>
    </w:tbl>
    <w:bookmarkEnd w:id="34"/>
    <w:bookmarkStart w:id="39" w:name="X2965e629906fd39bba8191bc20c71986c2165a8"/>
    <w:p>
      <w:pPr>
        <w:pStyle w:val="Heading2"/>
      </w:pPr>
      <w:r>
        <w:t xml:space="preserve">Retention — the tier that decides the evidence</w:t>
      </w:r>
    </w:p>
    <w:p>
      <w:pPr>
        <w:pStyle w:val="FirstParagraph"/>
      </w:pPr>
      <w:r>
        <w:t xml:space="preserve">Enabling the UAL does not by itself satisfy AU-11 or OMB M-21-31. Retention is</w:t>
      </w:r>
      <w:r>
        <w:t xml:space="preserve"> </w:t>
      </w:r>
      <w:r>
        <w:t xml:space="preserve">governed by license tier and by audit retention policies: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(Standard)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180 days</w:t>
            </w:r>
            <w:r>
              <w:t xml:space="preserve"> </w:t>
            </w:r>
            <w:r>
              <w:t xml:space="preserve">by default (logs generated before 2023-10-17: 90 days)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(Premium)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year</w:t>
            </w:r>
            <w:r>
              <w:t xml:space="preserve"> </w:t>
            </w:r>
            <w:r>
              <w:t xml:space="preserve">for Exchange, SharePoint, OneDrive, and</w:t>
            </w:r>
            <w:r>
              <w:t xml:space="preserve"> </w:t>
            </w:r>
            <w:r>
              <w:rPr>
                <w:rStyle w:val="VerbatimChar"/>
              </w:rPr>
              <w:t xml:space="preserve">AzureActiveDirectory</w:t>
            </w:r>
            <w:r>
              <w:t xml:space="preserve"> </w:t>
            </w:r>
            <w:r>
              <w:t xml:space="preserve">workload records, via a non-modifiable default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(Premium), all other workloads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180 days</w:t>
            </w:r>
            <w:r>
              <w:t xml:space="preserve"> </w:t>
            </w:r>
            <w:r>
              <w:t xml:space="preserve">unless a custom retention policy extends them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(Premium) + 10-year add-on</w:t>
            </w:r>
          </w:p>
        </w:tc>
        <w:tc>
          <w:tcPr/>
          <w:p>
            <w:pPr>
              <w:pStyle w:val="Compact"/>
            </w:pPr>
            <w:r>
              <w:t xml:space="preserve">Up to</w:t>
            </w:r>
            <w:r>
              <w:t xml:space="preserve"> </w:t>
            </w:r>
            <w:r>
              <w:rPr>
                <w:b/>
                <w:bCs/>
              </w:rPr>
              <w:t xml:space="preserve">10 years</w:t>
            </w:r>
            <w:r>
              <w:t xml:space="preserve">, per-user add-on license required</w:t>
            </w:r>
          </w:p>
        </w:tc>
      </w:tr>
    </w:tbl>
    <w:p>
      <w:pPr>
        <w:pStyle w:val="BodyText"/>
      </w:pPr>
      <w:r>
        <w:t xml:space="preserve">From</w:t>
      </w:r>
      <w:r>
        <w:t xml:space="preserve"> </w:t>
      </w:r>
      <w:hyperlink r:id="rId35">
        <w:r>
          <w:rPr>
            <w:rStyle w:val="Hyperlink"/>
          </w:rPr>
          <w:t xml:space="preserve">Manage audit log retention policies</w:t>
        </w:r>
      </w:hyperlink>
      <w:r>
        <w:t xml:space="preserve"> </w:t>
      </w:r>
      <w:r>
        <w:t xml:space="preserve">and</w:t>
      </w:r>
      <w:r>
        <w:t xml:space="preserve"> </w:t>
      </w:r>
      <w:hyperlink r:id="rId36">
        <w:r>
          <w:rPr>
            <w:rStyle w:val="Hyperlink"/>
          </w:rPr>
          <w:t xml:space="preserve">auditing solutions in Microsoft Purview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default Premium policy is license-scoped, not tenant-scoped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one-year default retention applies only to records for activity performed</w:t>
            </w:r>
            <w:r>
              <w:t xml:space="preserve"> </w:t>
            </w:r>
            <w:r>
              <w:t xml:space="preserve">by users assigned an Office 365 / Microsoft 365</w:t>
            </w:r>
            <w:r>
              <w:t xml:space="preserve"> </w:t>
            </w:r>
            <w:r>
              <w:rPr>
                <w:b/>
                <w:bCs/>
              </w:rPr>
              <w:t xml:space="preserve">E5</w:t>
            </w:r>
            <w:r>
              <w:t xml:space="preserve"> </w:t>
            </w:r>
            <w:r>
              <w:t xml:space="preserve">license, a Microsoft</w:t>
            </w:r>
            <w:r>
              <w:t xml:space="preserve"> </w:t>
            </w:r>
            <w:r>
              <w:t xml:space="preserve">Purview Suite license, or the E5 eDiscovery and Audit add-on.</w:t>
            </w:r>
            <w:r>
              <w:t xml:space="preserve"> </w:t>
            </w:r>
            <w:r>
              <w:t xml:space="preserve">“If you have</w:t>
            </w:r>
            <w:r>
              <w:t xml:space="preserve"> </w:t>
            </w:r>
            <w:r>
              <w:t xml:space="preserve">non-E5 users or guest users in your organization, their corresponding audit</w:t>
            </w:r>
            <w:r>
              <w:t xml:space="preserve"> </w:t>
            </w:r>
            <w:r>
              <w:t xml:space="preserve">records are retained for 180 days”</w:t>
            </w:r>
            <w:r>
              <w:t xml:space="preserve"> </w:t>
            </w:r>
            <w:r>
              <w:t xml:space="preserve">(</w:t>
            </w:r>
            <w:hyperlink r:id="rId35">
              <w:r>
                <w:rPr>
                  <w:rStyle w:val="Hyperlink"/>
                </w:rPr>
                <w:t xml:space="preserve">audit log retention policies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Federal tenants are rarely uniformly E5. A mixed-license estate has a</w:t>
            </w:r>
            <w:r>
              <w:t xml:space="preserve"> </w:t>
            </w:r>
            <w:r>
              <w:rPr>
                <w:b/>
                <w:bCs/>
              </w:rPr>
              <w:t xml:space="preserve">split retention horizon</w:t>
            </w:r>
            <w:r>
              <w:t xml:space="preserve"> </w:t>
            </w:r>
            <w:r>
              <w:t xml:space="preserve">that no dashboard displays: E5 users at one year,</w:t>
            </w:r>
            <w:r>
              <w:t xml:space="preserve"> </w:t>
            </w:r>
            <w:r>
              <w:t xml:space="preserve">everyone else — including every guest and every service account on a lower</w:t>
            </w:r>
            <w:r>
              <w:t xml:space="preserve"> </w:t>
            </w:r>
            <w:r>
              <w:t xml:space="preserve">SKU — at 180 days. Enumerate license assignment against the M-21-31 scope</w:t>
            </w:r>
            <w:r>
              <w:t xml:space="preserve"> </w:t>
            </w:r>
            <w:r>
              <w:t xml:space="preserve">before asserting a retention position, and record the mixed state explicitly</w:t>
            </w:r>
            <w:r>
              <w:t xml:space="preserve"> </w:t>
            </w:r>
            <w:r>
              <w:t xml:space="preserve">if it exists.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Retention policies are also</w:t>
            </w:r>
            <w:r>
              <w:t xml:space="preserve"> </w:t>
            </w:r>
            <w:r>
              <w:rPr>
                <w:b/>
                <w:bCs/>
              </w:rPr>
              <w:t xml:space="preserve">not retroactive</w:t>
            </w:r>
            <w:r>
              <w:t xml:space="preserve">. A 10-year policy created</w:t>
            </w:r>
            <w:r>
              <w:t xml:space="preserve"> </w:t>
            </w:r>
            <w:r>
              <w:t xml:space="preserve">today cannot retain records generated yesterday.</w:t>
            </w:r>
          </w:p>
          <w:p/>
        </w:tc>
      </w:tr>
    </w:tbl>
    <w:bookmarkEnd w:id="39"/>
    <w:bookmarkStart w:id="40" w:name="sentinel-ingestion"/>
    <w:p>
      <w:pPr>
        <w:pStyle w:val="Heading2"/>
      </w:pPr>
      <w:r>
        <w:t xml:space="preserve">Sentinel ingestion</w:t>
      </w:r>
    </w:p>
    <w:p>
      <w:pPr>
        <w:pStyle w:val="FirstParagraph"/>
      </w:pPr>
      <w:r>
        <w:t xml:space="preserve">For Sentinel, the</w:t>
      </w:r>
      <w:r>
        <w:t xml:space="preserve"> </w:t>
      </w:r>
      <w:r>
        <w:rPr>
          <w:b/>
          <w:bCs/>
        </w:rPr>
        <w:t xml:space="preserve">Microsoft 365</w:t>
      </w:r>
      <w:r>
        <w:t xml:space="preserve"> </w:t>
      </w:r>
      <w:r>
        <w:t xml:space="preserve">(Office 365) data connector ingests</w:t>
      </w:r>
      <w:r>
        <w:t xml:space="preserve"> </w:t>
      </w:r>
      <w:r>
        <w:t xml:space="preserve">Exchange, SharePoint, and Teams activity into the</w:t>
      </w:r>
      <w:r>
        <w:t xml:space="preserve"> </w:t>
      </w:r>
      <w:r>
        <w:rPr>
          <w:rStyle w:val="VerbatimChar"/>
        </w:rPr>
        <w:t xml:space="preserve">OfficeActivity</w:t>
      </w:r>
      <w:r>
        <w:t xml:space="preserve"> </w:t>
      </w:r>
      <w:r>
        <w:t xml:space="preserve">table</w:t>
      </w:r>
      <w:r>
        <w:t xml:space="preserve"> </w:t>
      </w:r>
      <w:r>
        <w:t xml:space="preserve">without a custom Management API client. Use the connector for the</w:t>
      </w:r>
      <w:r>
        <w:t xml:space="preserve"> </w:t>
      </w:r>
      <w:r>
        <w:t xml:space="preserve">SOC-detection path and the Management Activity API for the substrate’s</w:t>
      </w:r>
      <w:r>
        <w:t xml:space="preserve"> </w:t>
      </w:r>
      <w:r>
        <w:t xml:space="preserve">evidence path, where the</w:t>
      </w:r>
      <w:r>
        <w:t xml:space="preserve"> </w:t>
      </w:r>
      <w:r>
        <w:t xml:space="preserve">SIEM adapter spec requires a</w:t>
      </w:r>
      <w:r>
        <w:t xml:space="preserve"> </w:t>
      </w:r>
      <w:r>
        <w:t xml:space="preserve">provenance envelope the connector does not produce.</w:t>
      </w:r>
    </w:p>
    <w:p>
      <w:pPr>
        <w:pStyle w:val="BodyText"/>
      </w:pPr>
      <w:r>
        <w:t xml:space="preserve">Where both are running, they are independent readers of the same UAL. The</w:t>
      </w:r>
      <w:r>
        <w:t xml:space="preserve"> </w:t>
      </w:r>
      <w:r>
        <w:t xml:space="preserve">connector does not consume blobs in a way that hides them from an API</w:t>
      </w:r>
      <w:r>
        <w:t xml:space="preserve"> </w:t>
      </w:r>
      <w:r>
        <w:t xml:space="preserve">subscription.</w:t>
      </w:r>
    </w:p>
    <w:bookmarkEnd w:id="40"/>
    <w:bookmarkStart w:id="41" w:name="verify-emission"/>
    <w:p>
      <w:pPr>
        <w:pStyle w:val="Heading2"/>
      </w:pPr>
      <w:r>
        <w:t xml:space="preserve">Verify emission</w:t>
      </w:r>
    </w:p>
    <w:p>
      <w:pPr>
        <w:pStyle w:val="SourceCode"/>
      </w:pPr>
      <w:r>
        <w:rPr>
          <w:rStyle w:val="VerbatimChar"/>
        </w:rPr>
        <w:t xml:space="preserve">// M365 unified audit emission health by workload.</w:t>
      </w:r>
      <w:r>
        <w:br/>
      </w:r>
      <w:r>
        <w:rPr>
          <w:rStyle w:val="VerbatimChar"/>
        </w:rPr>
        <w:t xml:space="preserve">OfficeActivity</w:t>
      </w:r>
      <w:r>
        <w:br/>
      </w:r>
      <w:r>
        <w:rPr>
          <w:rStyle w:val="VerbatimChar"/>
        </w:rPr>
        <w:t xml:space="preserve">| where TimeGenerated &gt; ago(24h)</w:t>
      </w:r>
      <w:r>
        <w:br/>
      </w:r>
      <w:r>
        <w:rPr>
          <w:rStyle w:val="VerbatimChar"/>
        </w:rPr>
        <w:t xml:space="preserve">| summarize Events = count, LastEvent = max(TimeGenerated) by OfficeWorkload, RecordType</w:t>
      </w:r>
      <w:r>
        <w:br/>
      </w:r>
      <w:r>
        <w:rPr>
          <w:rStyle w:val="VerbatimChar"/>
        </w:rPr>
        <w:t xml:space="preserve">| extend Stale = LastEvent &lt; ago(6h)</w:t>
      </w:r>
      <w:r>
        <w:br/>
      </w:r>
      <w:r>
        <w:rPr>
          <w:rStyle w:val="VerbatimChar"/>
        </w:rPr>
        <w:t xml:space="preserve">| order by Stale desc, Events desc</w:t>
      </w:r>
    </w:p>
    <w:p>
      <w:pPr>
        <w:pStyle w:val="FirstParagraph"/>
      </w:pPr>
      <w:r>
        <w:t xml:space="preserve">Tenant-side, independent of any SIEM:</w:t>
      </w:r>
    </w:p>
    <w:p>
      <w:pPr>
        <w:pStyle w:val="SourceCode"/>
      </w:pPr>
      <w:r>
        <w:rPr>
          <w:rStyle w:val="CommentTok"/>
        </w:rPr>
        <w:t xml:space="preserve"># Does the UAL itself hold recent records for each workload?</w:t>
      </w:r>
      <w:r>
        <w:br/>
      </w:r>
      <w:r>
        <w:rPr>
          <w:rStyle w:val="ControlFlowTok"/>
        </w:rPr>
        <w:t xml:space="preserve">foreach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$wl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StringTok"/>
        </w:rPr>
        <w:t xml:space="preserve">'AzureActiveDirectory'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'Exchange'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'SharePoint'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'MicrosoftTeams'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Search-UnifiedAuditLog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StartDate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Get-Date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AddDays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EndDate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Get-Date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RecordType </w:t>
      </w:r>
      <w:r>
        <w:rPr>
          <w:rStyle w:val="VariableTok"/>
        </w:rPr>
        <w:t xml:space="preserve">$wl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ResultSize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Count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"{0,-22} {1}"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 </w:t>
      </w:r>
      <w:r>
        <w:rPr>
          <w:rStyle w:val="VariableTok"/>
        </w:rPr>
        <w:t xml:space="preserve">$wl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$(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-gt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RECORDS"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Run both. The KQL proves the SIEM is receiving; the PowerShell proves the</w:t>
      </w:r>
      <w:r>
        <w:t xml:space="preserve"> </w:t>
      </w:r>
      <w:r>
        <w:t xml:space="preserve">tenant is recording. A green KQL result with a stale pipeline can persist for</w:t>
      </w:r>
      <w:r>
        <w:t xml:space="preserve"> </w:t>
      </w:r>
      <w:r>
        <w:t xml:space="preserve">hours on cached data — only the tenant-side check distinguishes</w:t>
      </w:r>
      <w:r>
        <w:t xml:space="preserve"> </w:t>
      </w:r>
      <w:r>
        <w:t xml:space="preserve">“nothing</w:t>
      </w:r>
      <w:r>
        <w:t xml:space="preserve"> </w:t>
      </w:r>
      <w:r>
        <w:t xml:space="preserve">happened”</w:t>
      </w:r>
      <w:r>
        <w:t xml:space="preserve"> </w:t>
      </w:r>
      <w:r>
        <w:t xml:space="preserve">from</w:t>
      </w:r>
      <w:r>
        <w:t xml:space="preserve"> </w:t>
      </w:r>
      <w:r>
        <w:t xml:space="preserve">“nothing is being captured.”</w:t>
      </w:r>
    </w:p>
    <w:bookmarkEnd w:id="41"/>
    <w:bookmarkStart w:id="42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Compliance crosswalk and verification — mapping</w:t>
      </w:r>
      <w:r>
        <w:t xml:space="preserve"> </w:t>
      </w:r>
      <w:r>
        <w:t xml:space="preserve">all three planes to M-21-31 tiers, NIST controls, CISA baselines, and FedRAMP</w:t>
      </w:r>
      <w:r>
        <w:t xml:space="preserve"> </w:t>
      </w:r>
      <w:r>
        <w:t xml:space="preserve">KSIs, and setting the retention that makes the evidence admissible.</w:t>
      </w:r>
    </w:p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0" Target="media/rId10.png" /><Relationship Type="http://schemas.openxmlformats.org/officeDocument/2006/relationships/hyperlink" Id="rId33" Target="../../modernization-specs/telemetry.md" TargetMode="External" /><Relationship Type="http://schemas.openxmlformats.org/officeDocument/2006/relationships/hyperlink" Id="rId30" Target="https://learn.microsoft.com/office/office-365-management-api/office-365-management-activity-api-reference#list-available-content" TargetMode="External" /><Relationship Type="http://schemas.openxmlformats.org/officeDocument/2006/relationships/hyperlink" Id="rId26" Target="https://learn.microsoft.com/office/office-365-management-api/office-365-management-activity-api-reference#working-with-the-office-365-management-activity-api" TargetMode="External" /><Relationship Type="http://schemas.openxmlformats.org/officeDocument/2006/relationships/hyperlink" Id="rId20" Target="https://learn.microsoft.com/office/office-365-management-api/troubleshooting-the-office-365-management-activity-api#troubleshooting-the-office-365-management-activity-api" TargetMode="External" /><Relationship Type="http://schemas.openxmlformats.org/officeDocument/2006/relationships/hyperlink" Id="rId21" Target="https://learn.microsoft.com/power-platform/guidance/coe/setup-auditlog-http#create-a-microsoft-entra-app-registration-for-office-365-management-api-access" TargetMode="External" /><Relationship Type="http://schemas.openxmlformats.org/officeDocument/2006/relationships/hyperlink" Id="rId9" Target="https://learn.microsoft.com/purview/audit-log-enable-disable" TargetMode="External" /><Relationship Type="http://schemas.openxmlformats.org/officeDocument/2006/relationships/hyperlink" Id="rId13" Target="https://learn.microsoft.com/purview/audit-log-enable-disable#before-you-turn-auditing-on-or-off" TargetMode="External" /><Relationship Type="http://schemas.openxmlformats.org/officeDocument/2006/relationships/hyperlink" Id="rId35" Target="https://learn.microsoft.com/purview/audit-log-retention-policies" TargetMode="External" /><Relationship Type="http://schemas.openxmlformats.org/officeDocument/2006/relationships/hyperlink" Id="rId36" Target="https://learn.microsoft.com/purview/audit-solutions-overview#audit-premium" TargetMode="External" /><Relationship Type="http://schemas.openxmlformats.org/officeDocument/2006/relationships/hyperlink" Id="rId15" Target="https://purview.microsoft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../../modernization-specs/telemetry.md" TargetMode="External" /><Relationship Type="http://schemas.openxmlformats.org/officeDocument/2006/relationships/hyperlink" Id="rId30" Target="https://learn.microsoft.com/office/office-365-management-api/office-365-management-activity-api-reference#list-available-content" TargetMode="External" /><Relationship Type="http://schemas.openxmlformats.org/officeDocument/2006/relationships/hyperlink" Id="rId26" Target="https://learn.microsoft.com/office/office-365-management-api/office-365-management-activity-api-reference#working-with-the-office-365-management-activity-api" TargetMode="External" /><Relationship Type="http://schemas.openxmlformats.org/officeDocument/2006/relationships/hyperlink" Id="rId20" Target="https://learn.microsoft.com/office/office-365-management-api/troubleshooting-the-office-365-management-activity-api#troubleshooting-the-office-365-management-activity-api" TargetMode="External" /><Relationship Type="http://schemas.openxmlformats.org/officeDocument/2006/relationships/hyperlink" Id="rId21" Target="https://learn.microsoft.com/power-platform/guidance/coe/setup-auditlog-http#create-a-microsoft-entra-app-registration-for-office-365-management-api-access" TargetMode="External" /><Relationship Type="http://schemas.openxmlformats.org/officeDocument/2006/relationships/hyperlink" Id="rId9" Target="https://learn.microsoft.com/purview/audit-log-enable-disable" TargetMode="External" /><Relationship Type="http://schemas.openxmlformats.org/officeDocument/2006/relationships/hyperlink" Id="rId13" Target="https://learn.microsoft.com/purview/audit-log-enable-disable#before-you-turn-auditing-on-or-off" TargetMode="External" /><Relationship Type="http://schemas.openxmlformats.org/officeDocument/2006/relationships/hyperlink" Id="rId35" Target="https://learn.microsoft.com/purview/audit-log-retention-policies" TargetMode="External" /><Relationship Type="http://schemas.openxmlformats.org/officeDocument/2006/relationships/hyperlink" Id="rId36" Target="https://learn.microsoft.com/purview/audit-solutions-overview#audit-premium" TargetMode="External" /><Relationship Type="http://schemas.openxmlformats.org/officeDocument/2006/relationships/hyperlink" Id="rId15" Target="https://purview.microsoft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Microsoft 365 Unified Audit Log Emission</dc:title>
  <dc:creator>Michael Stratton</dc:creator>
  <cp:keywords/>
  <dcterms:created xsi:type="dcterms:W3CDTF">2026-10-19T10:11:24Z</dcterms:created>
  <dcterms:modified xsi:type="dcterms:W3CDTF">2026-10-19T10:11:24Z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src/fmp/canon/adapter-registry.yaml#siem</vt:lpwstr>
  </property>
  <property fmtid="{D5CDD505-2E9C-101B-9397-08002B2CF9AE}" pid="7" name="created-at">
    <vt:lpwstr>2026-08-27</vt:lpwstr>
  </property>
  <property fmtid="{D5CDD505-2E9C-101B-9397-08002B2CF9AE}" pid="8" name="date">
    <vt:lpwstr>2026-08-01</vt:lpwstr>
  </property>
  <property fmtid="{D5CDD505-2E9C-101B-9397-08002B2CF9AE}" pid="9" name="derived-from">
    <vt:lpwstr>Microsoft Learn product documentation, linked inline per claim.</vt:lpwstr>
  </property>
  <property fmtid="{D5CDD505-2E9C-101B-9397-08002B2CF9AE}" pid="10" name="doc-type">
    <vt:lpwstr>operational-guide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adopted</vt:lpwstr>
  </property>
  <property fmtid="{D5CDD505-2E9C-101B-9397-08002B2CF9AE}" pid="16" name="lifecycle_review">
    <vt:lpwstr>2027-02-27</vt:lpwstr>
  </property>
  <property fmtid="{D5CDD505-2E9C-101B-9397-08002B2CF9AE}" pid="17" name="repo-path">
    <vt:lpwstr>docs/customer-documents/operational-guides/siem-telemetry-emission/03-m365-unified-audit.qmd</vt:lpwstr>
  </property>
  <property fmtid="{D5CDD505-2E9C-101B-9397-08002B2CF9AE}" pid="18" name="status">
    <vt:lpwstr>Active</vt:lpwstr>
  </property>
  <property fmtid="{D5CDD505-2E9C-101B-9397-08002B2CF9AE}" pid="19" name="subtitle">
    <vt:lpwstr>Verifying and enabling unified audit logging, subscribing to the Office 365 Management Activity API content types, and the retention tiers that decide whether the evidence survives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2026-08-27</vt:lpwstr>
  </property>
</Properties>
</file>