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E. Target Surface (Hybrid Cloud)</w:t>
      </w:r>
    </w:p>
    <w:p>
      <w:pPr>
        <w:pStyle w:val="Subtitle"/>
      </w:pPr>
      <w:r>
        <w:t xml:space="preserve">Entra ID, Intune, Azure Arc, M365 — where transformed data lands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e.-target-surface-hybrid-cloud"/>
    <w:p>
      <w:pPr>
        <w:pStyle w:val="Heading1"/>
      </w:pPr>
      <w:r>
        <w:t xml:space="preserve">E. Target Surface (Hybrid Cloud)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target-surface-bundle.docx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The Hybrid-Cloud estate where the Federal Modernization Program delivers governed identity, device,</w:t>
      </w:r>
      <w:r>
        <w:t xml:space="preserve"> </w:t>
      </w:r>
      <w:r>
        <w:t xml:space="preserve">and policy data. Every target has a canonical adapter in</w:t>
      </w:r>
      <w:r>
        <w:t xml:space="preserve"> </w:t>
      </w:r>
      <w:r>
        <w:t xml:space="preserve">adapter-specs and a validation suite in</w:t>
      </w:r>
      <w:r>
        <w:t xml:space="preserve"> </w:t>
      </w:r>
      <w:r>
        <w:t xml:space="preserve">validation-suites.</w:t>
      </w:r>
    </w:p>
    <w:bookmarkStart w:id="14" w:name="leaves"/>
    <w:p>
      <w:pPr>
        <w:pStyle w:val="Heading2"/>
      </w:pPr>
      <w:r>
        <w:t xml:space="preserve">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E.1</w:t>
      </w:r>
      <w:r>
        <w:t xml:space="preserve"> </w:t>
      </w:r>
      <w:r>
        <w:t xml:space="preserve">Entra ID tenant — adapter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E.2</w:t>
      </w:r>
      <w:r>
        <w:t xml:space="preserve"> </w:t>
      </w:r>
      <w:r>
        <w:t xml:space="preserve">Administrative Units —</w:t>
      </w:r>
      <w:r>
        <w:t xml:space="preserve"> </w:t>
      </w:r>
      <w:hyperlink r:id="rId13">
        <w:r>
          <w:rPr>
            <w:rStyle w:val="Hyperlink"/>
          </w:rPr>
          <w:t xml:space="preserve">FMP_154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E.3</w:t>
      </w:r>
      <w:r>
        <w:t xml:space="preserve"> </w:t>
      </w:r>
      <w:r>
        <w:t xml:space="preserve">Intune — adapter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E.4</w:t>
      </w:r>
      <w:r>
        <w:t xml:space="preserve"> </w:t>
      </w:r>
      <w:r>
        <w:t xml:space="preserve">Azure Arc — (adapter pending)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E.5</w:t>
      </w:r>
      <w:r>
        <w:t xml:space="preserve"> </w:t>
      </w:r>
      <w:r>
        <w:t xml:space="preserve">Microsoft 365 SaaS — adapter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E.6</w:t>
      </w:r>
      <w:r>
        <w:t xml:space="preserve"> </w:t>
      </w:r>
      <w:r>
        <w:t xml:space="preserve">Conditional Access targeting — (see Compliance D.1)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E.7</w:t>
      </w:r>
      <w:r>
        <w:t xml:space="preserve"> </w:t>
      </w:r>
      <w:r>
        <w:t xml:space="preserve">PIM + Access Reviews + Entitlement Management — (adapter pending)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../downloads/target-surface-bundle.docx" TargetMode="External" /><Relationship Type="http://schemas.openxmlformats.org/officeDocument/2006/relationships/hyperlink" Id="rId13" Target="../../reference-architecture/deleg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../downloads/target-surface-bundle.docx" TargetMode="External" /><Relationship Type="http://schemas.openxmlformats.org/officeDocument/2006/relationships/hyperlink" Id="rId13" Target="../../reference-architecture/deleg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E. Target Surface (Hybrid Cloud)</dc:title>
  <dc:creator/>
  <cp:keywords/>
  <dcterms:created xsi:type="dcterms:W3CDTF">2026-10-19T10:11:25Z</dcterms:created>
  <dcterms:modified xsi:type="dcterms:W3CDTF">2026-10-19T10:11:25Z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E</vt:lpwstr>
  </property>
  <property fmtid="{D5CDD505-2E9C-101B-9397-08002B2CF9AE}" pid="15" name="subtitle">
    <vt:lpwstr>Entra ID, Intune, Azure Arc, M365 — where transformed data lands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