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zero-trust-assessment"/>
    <w:p>
      <w:pPr>
        <w:pStyle w:val="Heading1"/>
      </w:pPr>
      <w:r>
        <w:t xml:space="preserve">Zero Trust Assessment</w:t>
      </w:r>
    </w:p>
    <w:p>
      <w:pPr>
        <w:pStyle w:val="FirstParagraph"/>
      </w:pPr>
      <w:r>
        <w:t xml:space="preserve">Dimensions and evidence sources for assessing Zero Trust maturity.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Provide a structured view of Zero Trust posture across identity, device, network, application, and data. The assessment is evidence-based: each dimension is scored from observable signals rather than self-attestation alone.</w:t>
      </w:r>
    </w:p>
    <w:bookmarkEnd w:id="9"/>
    <w:bookmarkStart w:id="10" w:name="dimensions"/>
    <w:p>
      <w:pPr>
        <w:pStyle w:val="Heading2"/>
      </w:pPr>
      <w:r>
        <w:t xml:space="preserve">Dimensions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54"/>
        <w:gridCol w:w="55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Primary evidence sources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MFA coverage, Conditional Access hit rates, privileged access reviews, stale accounts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Device</w:t>
            </w:r>
          </w:p>
        </w:tc>
        <w:tc>
          <w:tcPr/>
          <w:p>
            <w:pPr>
              <w:pStyle w:val="Compact"/>
            </w:pPr>
            <w:r>
              <w:t xml:space="preserve">Intune enrollment rate, compliance policy results, unmanaged device access attempts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Named location accuracy, split-tunnel or private access adoption, DNS resolution consistency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Application</w:t>
            </w:r>
          </w:p>
        </w:tc>
        <w:tc>
          <w:tcPr/>
          <w:p>
            <w:pPr>
              <w:pStyle w:val="Compact"/>
            </w:pPr>
            <w:r>
              <w:t xml:space="preserve">Application registration hygiene, Conditional Access coverage per app, legacy auth blocks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Sensitivity labeling adoption, access reviews, external sharing controls</w:t>
            </w:r>
          </w:p>
        </w:tc>
      </w:tr>
    </w:tbl>
    <w:bookmarkEnd w:id="10"/>
    <w:bookmarkStart w:id="11" w:name="assessment-method"/>
    <w:p>
      <w:pPr>
        <w:pStyle w:val="Heading2"/>
      </w:pPr>
      <w:r>
        <w:t xml:space="preserve">Assessment method</w:t>
      </w:r>
    </w:p>
    <w:p>
      <w:pPr>
        <w:pStyle w:val="Compact"/>
        <w:numPr>
          <w:ilvl w:val="0"/>
          <w:numId w:val="1001"/>
        </w:numPr>
      </w:pPr>
      <w:r>
        <w:t xml:space="preserve">Collect signals from directory, endpoint, network, and application telemetry.</w:t>
      </w:r>
    </w:p>
    <w:p>
      <w:pPr>
        <w:pStyle w:val="Compact"/>
        <w:numPr>
          <w:ilvl w:val="0"/>
          <w:numId w:val="1001"/>
        </w:numPr>
      </w:pPr>
      <w:r>
        <w:t xml:space="preserve">Map each signal to a dimension and a maturity level.</w:t>
      </w:r>
    </w:p>
    <w:p>
      <w:pPr>
        <w:pStyle w:val="Compact"/>
        <w:numPr>
          <w:ilvl w:val="0"/>
          <w:numId w:val="1001"/>
        </w:numPr>
      </w:pPr>
      <w:r>
        <w:t xml:space="preserve">Identify gaps where evidence is missing or contradictory.</w:t>
      </w:r>
    </w:p>
    <w:p>
      <w:pPr>
        <w:pStyle w:val="Compact"/>
        <w:numPr>
          <w:ilvl w:val="0"/>
          <w:numId w:val="1001"/>
        </w:numPr>
      </w:pPr>
      <w:r>
        <w:t xml:space="preserve">Prioritize remediation by residual risk and dependency.</w:t>
      </w:r>
    </w:p>
    <w:p>
      <w:pPr>
        <w:pStyle w:val="Compact"/>
        <w:numPr>
          <w:ilvl w:val="0"/>
          <w:numId w:val="1001"/>
        </w:numPr>
      </w:pPr>
      <w:r>
        <w:t xml:space="preserve">Re-assess on a defined cadence.</w:t>
      </w:r>
    </w:p>
    <w:bookmarkEnd w:id="11"/>
    <w:bookmarkStart w:id="12" w:name="output"/>
    <w:p>
      <w:pPr>
        <w:pStyle w:val="Heading2"/>
      </w:pPr>
      <w:r>
        <w:t xml:space="preserve">Output</w:t>
      </w:r>
    </w:p>
    <w:p>
      <w:pPr>
        <w:pStyle w:val="FirstParagraph"/>
      </w:pPr>
      <w:r>
        <w:t xml:space="preserve">A dashboard or report that shows current maturity per dimension, evidence gaps, and recommended next actions. The value is in the evidence trail, not the score alone.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2026-10-19T10:11:27Z</dcterms:created>
  <dcterms:modified xsi:type="dcterms:W3CDTF">2026-10-19T10:11:27Z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