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education-program"/>
    <w:p>
      <w:pPr>
        <w:pStyle w:val="Heading1"/>
      </w:pPr>
      <w:r>
        <w:t xml:space="preserve">Education Program</w:t>
      </w:r>
    </w:p>
    <w:p>
      <w:pPr>
        <w:pStyle w:val="FirstParagraph"/>
      </w:pPr>
      <w:r>
        <w:rPr>
          <w:b/>
          <w:bCs/>
        </w:rPr>
        <w:t xml:space="preserve">Building the mental model before teaching the tools</w:t>
      </w:r>
    </w:p>
    <w:p>
      <w:pPr>
        <w:pStyle w:val="BodyText"/>
      </w:pPr>
      <w:r>
        <w:t xml:space="preserve">Before you can use a governed modernization approach, you have to see what it is. That is what the education program does. It is distinct from training:</w:t>
      </w:r>
      <w:r>
        <w:t xml:space="preserve"> </w:t>
      </w:r>
      <w:r>
        <w:rPr>
          <w:b/>
          <w:bCs/>
        </w:rPr>
        <w:t xml:space="preserve">training teaches how to use and contribute; education builds the conceptual mental model that makes the training stick.</w:t>
      </w:r>
    </w:p>
    <w:bookmarkStart w:id="9" w:name="the-learning-arc"/>
    <w:p>
      <w:pPr>
        <w:pStyle w:val="Heading2"/>
      </w:pPr>
      <w:r>
        <w:t xml:space="preserve">The learning arc</w:t>
      </w:r>
    </w:p>
    <w:p>
      <w:pPr>
        <w:pStyle w:val="FirstParagraph"/>
      </w:pPr>
      <w:r>
        <w:t xml:space="preserve">The program is not a feature tour. It builds a mental model in a specific order.</w:t>
      </w:r>
    </w:p>
    <w:p>
      <w:pPr>
        <w:pStyle w:val="Compact"/>
        <w:numPr>
          <w:ilvl w:val="0"/>
          <w:numId w:val="1001"/>
        </w:numPr>
      </w:pPr>
      <w:r>
        <w:t xml:space="preserve">Governance is a</w:t>
      </w:r>
      <w:r>
        <w:t xml:space="preserve"> </w:t>
      </w:r>
      <w:r>
        <w:rPr>
          <w:b/>
          <w:bCs/>
        </w:rPr>
        <w:t xml:space="preserve">system</w:t>
      </w:r>
      <w:r>
        <w:t xml:space="preserve">, not a report or a checklist.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Identity</w:t>
      </w:r>
      <w:r>
        <w:t xml:space="preserve"> </w:t>
      </w:r>
      <w:r>
        <w:t xml:space="preserve">is the primitive. Everything else attaches to a canonical object.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Maps</w:t>
      </w:r>
      <w:r>
        <w:t xml:space="preserve"> </w:t>
      </w:r>
      <w:r>
        <w:t xml:space="preserve">replace inventories. Adapters produce one unified environment map, not a pile of spreadsheets.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Provenance</w:t>
      </w:r>
      <w:r>
        <w:t xml:space="preserve"> </w:t>
      </w:r>
      <w:r>
        <w:t xml:space="preserve">is non-negotiable. Every derived artifact names its canonical source and version.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Modernization</w:t>
      </w:r>
      <w:r>
        <w:t xml:space="preserve"> </w:t>
      </w:r>
      <w:r>
        <w:t xml:space="preserve">is a lifecycle, not a project. It runs end-to-end under change control.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Drift</w:t>
      </w:r>
      <w:r>
        <w:t xml:space="preserve"> </w:t>
      </w:r>
      <w:r>
        <w:t xml:space="preserve">is the feedback signal. The system knows when reality has diverged from the authoritative source and reports it in a classified, prioritized form.</w:t>
      </w:r>
    </w:p>
    <w:p>
      <w:pPr>
        <w:pStyle w:val="FirstParagraph"/>
      </w:pPr>
      <w:r>
        <w:t xml:space="preserve">A learner who internalizes those six ideas is ready to enter training and pick an operator or contributor track.</w:t>
      </w:r>
    </w:p>
    <w:bookmarkEnd w:id="9"/>
    <w:bookmarkStart w:id="10" w:name="formats"/>
    <w:p>
      <w:pPr>
        <w:pStyle w:val="Heading2"/>
      </w:pPr>
      <w:r>
        <w:t xml:space="preserve">Formats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90-minute facilitated walkthrough</w:t>
      </w:r>
      <w:r>
        <w:t xml:space="preserve"> </w:t>
      </w:r>
      <w:r>
        <w:t xml:space="preserve">for program kickoff. One concept per ~10 minutes, with questions between.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Self-serve written path</w:t>
      </w:r>
      <w:r>
        <w:t xml:space="preserve"> </w:t>
      </w:r>
      <w:r>
        <w:t xml:space="preserve">for anyone who cannot attend live. Sufficient on its own.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45-minute auditor briefing</w:t>
      </w:r>
      <w:r>
        <w:t xml:space="preserve"> </w:t>
      </w:r>
      <w:r>
        <w:t xml:space="preserve">— provenance, drift detection, and drift remediation only.</w:t>
      </w:r>
    </w:p>
    <w:bookmarkEnd w:id="10"/>
    <w:bookmarkStart w:id="13" w:name="companion-pages"/>
    <w:p>
      <w:pPr>
        <w:pStyle w:val="Heading2"/>
      </w:pPr>
      <w:r>
        <w:t xml:space="preserve">Companion pages</w:t>
      </w:r>
    </w:p>
    <w:p>
      <w:pPr>
        <w:pStyle w:val="Compact"/>
        <w:numPr>
          <w:ilvl w:val="0"/>
          <w:numId w:val="1003"/>
        </w:numPr>
      </w:pPr>
      <w:hyperlink r:id="rId11">
        <w:r>
          <w:rPr>
            <w:rStyle w:val="Hyperlink"/>
          </w:rPr>
          <w:t xml:space="preserve">Training</w:t>
        </w:r>
      </w:hyperlink>
      <w:r>
        <w:t xml:space="preserve"> </w:t>
      </w:r>
      <w:r>
        <w:t xml:space="preserve">— the how, once the why is in place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Test plans</w:t>
        </w:r>
      </w:hyperlink>
      <w:r>
        <w:t xml:space="preserve"> </w:t>
      </w:r>
      <w:r>
        <w:t xml:space="preserve">— the catalog of what tests govern what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test-plans.md" TargetMode="External" /><Relationship Type="http://schemas.openxmlformats.org/officeDocument/2006/relationships/hyperlink" Id="rId11" Target="training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test-plans.md" TargetMode="External" /><Relationship Type="http://schemas.openxmlformats.org/officeDocument/2006/relationships/hyperlink" Id="rId11" Target="training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2026-10-19T10:11:27Z</dcterms:created>
  <dcterms:modified xsi:type="dcterms:W3CDTF">2026-10-19T10:11:27Z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