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test-plans-the-catalog-not-the-plans"/>
    <w:p>
      <w:pPr>
        <w:pStyle w:val="Heading1"/>
      </w:pPr>
      <w:r>
        <w:t xml:space="preserve">Test Plans — The Catalog, Not the Plans</w:t>
      </w:r>
    </w:p>
    <w:p>
      <w:pPr>
        <w:pStyle w:val="FirstParagraph"/>
      </w:pPr>
      <w:r>
        <w:rPr>
          <w:b/>
          <w:bCs/>
        </w:rPr>
        <w:t xml:space="preserve">One place to answer the question “what tests govern what?”</w:t>
      </w:r>
    </w:p>
    <w:p>
      <w:pPr>
        <w:pStyle w:val="BodyText"/>
      </w:pPr>
      <w:r>
        <w:t xml:space="preserve">A program this ambitious needs more than a pile of tests. It needs a catalog — one place you can look to answer the question “what tests govern what?”</w:t>
      </w:r>
    </w:p>
    <w:p>
      <w:pPr>
        <w:pStyle w:val="BodyText"/>
      </w:pPr>
      <w:r>
        <w:t xml:space="preserve">The catalog does not restate the individual plans. It names them, scopes them, and points at their canonical home. Doctrinal templates live as reviewed documents; executable suites live under a tests directory. Either way, everything appears in one table.</w:t>
      </w:r>
    </w:p>
    <w:bookmarkStart w:id="9" w:name="the-entry-rules"/>
    <w:p>
      <w:pPr>
        <w:pStyle w:val="Heading2"/>
      </w:pPr>
      <w:r>
        <w:t xml:space="preserve">The entry rules</w:t>
      </w:r>
    </w:p>
    <w:p>
      <w:pPr>
        <w:pStyle w:val="FirstParagraph"/>
      </w:pPr>
      <w:r>
        <w:t xml:space="preserve">Three rules keep the catalog honest.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plan has a canonical entry.</w:t>
      </w:r>
      <w:r>
        <w:t xml:space="preserve"> </w:t>
      </w:r>
      <w:r>
        <w:t xml:space="preserve">No plans live only on wikis, tickets, or in someone’s head. If a plan governs behavior, it is in the catalog with a document identifier or a path.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plan declares its pass signal.</w:t>
      </w:r>
      <w:r>
        <w:t xml:space="preserve"> </w:t>
      </w:r>
      <w:r>
        <w:t xml:space="preserve">Executable plans emit an exit code, a structured report, or a test-result stream. Doctrinal reviews name the reviewer and the date. A plan whose pass signal is “seems fine” is not a plan; it is an essay.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Retired plans stay in the catalog.</w:t>
      </w:r>
      <w:r>
        <w:t xml:space="preserve"> </w:t>
      </w:r>
      <w:r>
        <w:t xml:space="preserve">They move to deprecated and carry a pointer to their successor. This is how audit trails stay intact as the program evolves.</w:t>
      </w:r>
    </w:p>
    <w:bookmarkEnd w:id="9"/>
    <w:bookmarkStart w:id="10" w:name="what-runs-in-continuous-integration"/>
    <w:p>
      <w:pPr>
        <w:pStyle w:val="Heading2"/>
      </w:pPr>
      <w:r>
        <w:t xml:space="preserve">What runs in continuous integration</w:t>
      </w:r>
    </w:p>
    <w:p>
      <w:pPr>
        <w:pStyle w:val="FirstParagraph"/>
      </w:pPr>
      <w:r>
        <w:t xml:space="preserve">Four categories of checks typically run on every relevant change as blocking gates:</w:t>
      </w:r>
    </w:p>
    <w:p>
      <w:pPr>
        <w:pStyle w:val="Compact"/>
        <w:numPr>
          <w:ilvl w:val="0"/>
          <w:numId w:val="1002"/>
        </w:numPr>
      </w:pPr>
      <w:r>
        <w:t xml:space="preserve">Discovery and drift smoke tests</w:t>
      </w:r>
    </w:p>
    <w:p>
      <w:pPr>
        <w:pStyle w:val="Compact"/>
        <w:numPr>
          <w:ilvl w:val="0"/>
          <w:numId w:val="1002"/>
        </w:numPr>
      </w:pPr>
      <w:r>
        <w:t xml:space="preserve">Schema validation of every registry against its schema</w:t>
      </w:r>
    </w:p>
    <w:p>
      <w:pPr>
        <w:pStyle w:val="Compact"/>
        <w:numPr>
          <w:ilvl w:val="0"/>
          <w:numId w:val="1002"/>
        </w:numPr>
      </w:pPr>
      <w:r>
        <w:t xml:space="preserve">Metadata validation on every authoritative document</w:t>
      </w:r>
    </w:p>
    <w:p>
      <w:pPr>
        <w:pStyle w:val="Compact"/>
        <w:numPr>
          <w:ilvl w:val="0"/>
          <w:numId w:val="1002"/>
        </w:numPr>
      </w:pPr>
      <w:r>
        <w:t xml:space="preserve">Drift findings emitted by the walker</w:t>
      </w:r>
    </w:p>
    <w:p>
      <w:pPr>
        <w:pStyle w:val="FirstParagraph"/>
      </w:pPr>
      <w:r>
        <w:t xml:space="preserve">Test results stay inside the provenance chain — no side-channel spreadsheets.</w:t>
      </w:r>
    </w:p>
    <w:bookmarkEnd w:id="10"/>
    <w:bookmarkStart w:id="13" w:name="companion-pages"/>
    <w:p>
      <w:pPr>
        <w:pStyle w:val="Heading2"/>
      </w:pPr>
      <w:r>
        <w:t xml:space="preserve">Companion pages</w:t>
      </w:r>
    </w:p>
    <w:p>
      <w:pPr>
        <w:pStyle w:val="Compact"/>
        <w:numPr>
          <w:ilvl w:val="0"/>
          <w:numId w:val="1003"/>
        </w:numPr>
      </w:pPr>
      <w:hyperlink r:id="rId11">
        <w:r>
          <w:rPr>
            <w:rStyle w:val="Hyperlink"/>
          </w:rPr>
          <w:t xml:space="preserve">Training</w:t>
        </w:r>
      </w:hyperlink>
      <w:r>
        <w:t xml:space="preserve"> </w:t>
      </w:r>
      <w:r>
        <w:t xml:space="preserve">— how the program works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Education</w:t>
        </w:r>
      </w:hyperlink>
      <w:r>
        <w:t xml:space="preserve"> </w:t>
      </w:r>
      <w:r>
        <w:t xml:space="preserve">— narrative-led onboarding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education.md" TargetMode="External" /><Relationship Type="http://schemas.openxmlformats.org/officeDocument/2006/relationships/hyperlink" Id="rId11" Target="training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education.md" TargetMode="External" /><Relationship Type="http://schemas.openxmlformats.org/officeDocument/2006/relationships/hyperlink" Id="rId11" Target="training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2026-10-19T10:11:28Z</dcterms:created>
  <dcterms:modified xsi:type="dcterms:W3CDTF">2026-10-19T10:11:28Z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