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5" w:name="complementary-modernization-projects"/>
    <w:p>
      <w:pPr>
        <w:pStyle w:val="Heading1"/>
      </w:pPr>
      <w:r>
        <w:t xml:space="preserve">Complementary Modernization Projects</w:t>
      </w:r>
    </w:p>
    <w:p>
      <w:pPr>
        <w:pStyle w:val="FirstParagraph"/>
      </w:pPr>
      <w:r>
        <w:rPr>
          <w:b/>
          <w:bCs/>
        </w:rPr>
        <w:t xml:space="preserve">Executable project charters and plans that build on the modernization workbook</w:t>
      </w:r>
    </w:p>
    <w:p>
      <w:pPr>
        <w:pStyle w:val="BodyText"/>
      </w:pPr>
      <w:r>
        <w:t xml:space="preserve">The workbook supplies the principles, architecture, and governance framing. These projects turn selected gaps into executable work.</w:t>
      </w:r>
    </w:p>
    <w:bookmarkStart w:id="23" w:name="available"/>
    <w:p>
      <w:pPr>
        <w:pStyle w:val="Heading2"/>
      </w:pPr>
      <w:r>
        <w:t xml:space="preserve">Available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970"/>
        <w:gridCol w:w="297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Project</w:t>
            </w:r>
          </w:p>
        </w:tc>
        <w:tc>
          <w:tcPr/>
          <w:p>
            <w:pPr>
              <w:pStyle w:val="Compact"/>
            </w:pPr>
            <w:r>
              <w:t xml:space="preserve">Charter</w:t>
            </w:r>
          </w:p>
        </w:tc>
        <w:tc>
          <w:tcPr/>
          <w:p>
            <w:pPr>
              <w:pStyle w:val="Compact"/>
            </w:pPr>
            <w:r>
              <w:t xml:space="preserve">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 Lifecycle &amp; Provisioning</w:t>
            </w:r>
          </w:p>
        </w:tc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Charter</w:t>
              </w:r>
            </w:hyperlink>
          </w:p>
        </w:tc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Plan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Endpoint &amp; Device Modernization</w:t>
            </w:r>
          </w:p>
        </w:tc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Charter</w:t>
              </w:r>
            </w:hyperlink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Plan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Network &amp; Access Modernization</w:t>
            </w:r>
          </w:p>
        </w:tc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Charter</w:t>
              </w:r>
            </w:hyperlink>
          </w:p>
        </w:tc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Plan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Continuous Monitoring &amp; Evidence Fabric</w:t>
            </w:r>
          </w:p>
        </w:tc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Charter</w:t>
              </w:r>
            </w:hyperlink>
          </w:p>
        </w:tc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Plan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Privileged Access &amp; Administrative Identity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Charter</w:t>
              </w:r>
            </w:hyperlink>
          </w:p>
        </w:tc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Plan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Data Platform Identity Transformation</w:t>
            </w:r>
          </w:p>
        </w:tc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Charter</w:t>
              </w:r>
            </w:hyperlink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Plan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Supply Chain &amp; Software Bill of Materials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Charter</w:t>
              </w:r>
            </w:hyperlink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Plan</w:t>
              </w:r>
            </w:hyperlink>
          </w:p>
        </w:tc>
      </w:tr>
    </w:tbl>
    <w:bookmarkEnd w:id="23"/>
    <w:bookmarkStart w:id="24" w:name="suggested-sequence"/>
    <w:p>
      <w:pPr>
        <w:pStyle w:val="Heading2"/>
      </w:pPr>
      <w:r>
        <w:t xml:space="preserve">Suggested sequence</w:t>
      </w:r>
    </w:p>
    <w:p>
      <w:pPr>
        <w:pStyle w:val="Compact"/>
        <w:numPr>
          <w:ilvl w:val="0"/>
          <w:numId w:val="1001"/>
        </w:numPr>
      </w:pPr>
      <w:r>
        <w:t xml:space="preserve">Identity Lifecycle &amp; Provisioning</w:t>
      </w:r>
    </w:p>
    <w:p>
      <w:pPr>
        <w:pStyle w:val="Compact"/>
        <w:numPr>
          <w:ilvl w:val="0"/>
          <w:numId w:val="1001"/>
        </w:numPr>
      </w:pPr>
      <w:r>
        <w:t xml:space="preserve">Endpoint &amp; Device Modernization</w:t>
      </w:r>
    </w:p>
    <w:p>
      <w:pPr>
        <w:pStyle w:val="Compact"/>
        <w:numPr>
          <w:ilvl w:val="0"/>
          <w:numId w:val="1001"/>
        </w:numPr>
      </w:pPr>
      <w:r>
        <w:t xml:space="preserve">Network &amp; Access Modernization</w:t>
      </w:r>
    </w:p>
    <w:p>
      <w:pPr>
        <w:pStyle w:val="Compact"/>
        <w:numPr>
          <w:ilvl w:val="0"/>
          <w:numId w:val="1001"/>
        </w:numPr>
      </w:pPr>
      <w:r>
        <w:t xml:space="preserve">Continuous Monitoring &amp; Evidence Fabric</w:t>
      </w:r>
    </w:p>
    <w:p>
      <w:pPr>
        <w:pStyle w:val="Compact"/>
        <w:numPr>
          <w:ilvl w:val="0"/>
          <w:numId w:val="1001"/>
        </w:numPr>
      </w:pPr>
      <w:r>
        <w:t xml:space="preserve">Privileged Access &amp; Administrative Identity</w:t>
      </w:r>
    </w:p>
    <w:p>
      <w:pPr>
        <w:pStyle w:val="Compact"/>
        <w:numPr>
          <w:ilvl w:val="0"/>
          <w:numId w:val="1001"/>
        </w:numPr>
      </w:pPr>
      <w:r>
        <w:t xml:space="preserve">Data Platform Identity Transformation</w:t>
      </w:r>
    </w:p>
    <w:p>
      <w:pPr>
        <w:pStyle w:val="Compact"/>
        <w:numPr>
          <w:ilvl w:val="0"/>
          <w:numId w:val="1001"/>
        </w:numPr>
      </w:pPr>
      <w:r>
        <w:t xml:space="preserve">Supply Chain &amp; Software Bill of Materials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For project use. No internal branding or document identifiers.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continuous-monitoring-charter.md" TargetMode="External" /><Relationship Type="http://schemas.openxmlformats.org/officeDocument/2006/relationships/hyperlink" Id="rId16" Target="continuous-monitoring-plan.md" TargetMode="External" /><Relationship Type="http://schemas.openxmlformats.org/officeDocument/2006/relationships/hyperlink" Id="rId19" Target="data-platform-charter.md" TargetMode="External" /><Relationship Type="http://schemas.openxmlformats.org/officeDocument/2006/relationships/hyperlink" Id="rId20" Target="data-platform-plan.md" TargetMode="External" /><Relationship Type="http://schemas.openxmlformats.org/officeDocument/2006/relationships/hyperlink" Id="rId11" Target="endpoint-device-charter.md" TargetMode="External" /><Relationship Type="http://schemas.openxmlformats.org/officeDocument/2006/relationships/hyperlink" Id="rId12" Target="endpoint-device-plan.md" TargetMode="External" /><Relationship Type="http://schemas.openxmlformats.org/officeDocument/2006/relationships/hyperlink" Id="rId9" Target="identity-lifecycle-charter.md" TargetMode="External" /><Relationship Type="http://schemas.openxmlformats.org/officeDocument/2006/relationships/hyperlink" Id="rId10" Target="identity-lifecycle-plan.md" TargetMode="External" /><Relationship Type="http://schemas.openxmlformats.org/officeDocument/2006/relationships/hyperlink" Id="rId13" Target="network-access-charter.md" TargetMode="External" /><Relationship Type="http://schemas.openxmlformats.org/officeDocument/2006/relationships/hyperlink" Id="rId14" Target="network-access-plan.md" TargetMode="External" /><Relationship Type="http://schemas.openxmlformats.org/officeDocument/2006/relationships/hyperlink" Id="rId17" Target="privileged-access-charter.md" TargetMode="External" /><Relationship Type="http://schemas.openxmlformats.org/officeDocument/2006/relationships/hyperlink" Id="rId18" Target="privileged-access-plan.md" TargetMode="External" /><Relationship Type="http://schemas.openxmlformats.org/officeDocument/2006/relationships/hyperlink" Id="rId21" Target="supply-chain-charter.md" TargetMode="External" /><Relationship Type="http://schemas.openxmlformats.org/officeDocument/2006/relationships/hyperlink" Id="rId22" Target="supply-chain-pla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continuous-monitoring-charter.md" TargetMode="External" /><Relationship Type="http://schemas.openxmlformats.org/officeDocument/2006/relationships/hyperlink" Id="rId16" Target="continuous-monitoring-plan.md" TargetMode="External" /><Relationship Type="http://schemas.openxmlformats.org/officeDocument/2006/relationships/hyperlink" Id="rId19" Target="data-platform-charter.md" TargetMode="External" /><Relationship Type="http://schemas.openxmlformats.org/officeDocument/2006/relationships/hyperlink" Id="rId20" Target="data-platform-plan.md" TargetMode="External" /><Relationship Type="http://schemas.openxmlformats.org/officeDocument/2006/relationships/hyperlink" Id="rId11" Target="endpoint-device-charter.md" TargetMode="External" /><Relationship Type="http://schemas.openxmlformats.org/officeDocument/2006/relationships/hyperlink" Id="rId12" Target="endpoint-device-plan.md" TargetMode="External" /><Relationship Type="http://schemas.openxmlformats.org/officeDocument/2006/relationships/hyperlink" Id="rId9" Target="identity-lifecycle-charter.md" TargetMode="External" /><Relationship Type="http://schemas.openxmlformats.org/officeDocument/2006/relationships/hyperlink" Id="rId10" Target="identity-lifecycle-plan.md" TargetMode="External" /><Relationship Type="http://schemas.openxmlformats.org/officeDocument/2006/relationships/hyperlink" Id="rId13" Target="network-access-charter.md" TargetMode="External" /><Relationship Type="http://schemas.openxmlformats.org/officeDocument/2006/relationships/hyperlink" Id="rId14" Target="network-access-plan.md" TargetMode="External" /><Relationship Type="http://schemas.openxmlformats.org/officeDocument/2006/relationships/hyperlink" Id="rId17" Target="privileged-access-charter.md" TargetMode="External" /><Relationship Type="http://schemas.openxmlformats.org/officeDocument/2006/relationships/hyperlink" Id="rId18" Target="privileged-access-plan.md" TargetMode="External" /><Relationship Type="http://schemas.openxmlformats.org/officeDocument/2006/relationships/hyperlink" Id="rId21" Target="supply-chain-charter.md" TargetMode="External" /><Relationship Type="http://schemas.openxmlformats.org/officeDocument/2006/relationships/hyperlink" Id="rId22" Target="supply-chain-pla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2026-10-19T10:12:05Z</dcterms:created>
  <dcterms:modified xsi:type="dcterms:W3CDTF">2026-10-19T10:12:05Z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