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Xcaf740491b6fc4589b285b5809ad4b7a6c24dd3"/>
    <w:p>
      <w:pPr>
        <w:pStyle w:val="Heading1"/>
      </w:pPr>
      <w:r>
        <w:t xml:space="preserve">Continuous Monitoring &amp; Evidence Fabric — Project Charter</w:t>
      </w:r>
    </w:p>
    <w:bookmarkStart w:id="9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Turn continuous monitoring from a periodic reporting exercise into an operational fabric that aggregates evidence from multiple sources, detects drift, and assembles an authorization package from the closure stream rather than from after-the-fact assertions.</w:t>
      </w:r>
    </w:p>
    <w:bookmarkEnd w:id="9"/>
    <w:bookmarkStart w:id="10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Evidence is still assembled for assessments. Multiple management stacks produce multiple inventories that cannot be reconciled. Drift is discovered during audits rather than continuously. The result is:</w:t>
      </w:r>
    </w:p>
    <w:p>
      <w:pPr>
        <w:pStyle w:val="Compact"/>
        <w:numPr>
          <w:ilvl w:val="0"/>
          <w:numId w:val="1001"/>
        </w:numPr>
      </w:pPr>
      <w:r>
        <w:t xml:space="preserve">The same findings recur every assessment cycle.</w:t>
      </w:r>
    </w:p>
    <w:p>
      <w:pPr>
        <w:pStyle w:val="Compact"/>
        <w:numPr>
          <w:ilvl w:val="0"/>
          <w:numId w:val="1001"/>
        </w:numPr>
      </w:pPr>
      <w:r>
        <w:t xml:space="preserve">No single compliance picture across identity, endpoint, network, and data platforms.</w:t>
      </w:r>
    </w:p>
    <w:p>
      <w:pPr>
        <w:pStyle w:val="Compact"/>
        <w:numPr>
          <w:ilvl w:val="0"/>
          <w:numId w:val="1001"/>
        </w:numPr>
      </w:pPr>
      <w:r>
        <w:t xml:space="preserve">Authorization packages that describe controls an assessor cannot exercise.</w:t>
      </w:r>
    </w:p>
    <w:p>
      <w:pPr>
        <w:pStyle w:val="Compact"/>
        <w:numPr>
          <w:ilvl w:val="0"/>
          <w:numId w:val="1001"/>
        </w:numPr>
      </w:pPr>
      <w:r>
        <w:t xml:space="preserve">Continuous-monitoring obligations that are met by dashboards rather than by machine-readable evidence.</w:t>
      </w:r>
    </w:p>
    <w:bookmarkEnd w:id="10"/>
    <w:bookmarkStart w:id="11" w:name="objectives"/>
    <w:p>
      <w:pPr>
        <w:pStyle w:val="Heading2"/>
      </w:pPr>
      <w:r>
        <w:t xml:space="preserve">3. Objectives</w:t>
      </w:r>
    </w:p>
    <w:p>
      <w:pPr>
        <w:pStyle w:val="Compact"/>
        <w:numPr>
          <w:ilvl w:val="0"/>
          <w:numId w:val="1002"/>
        </w:numPr>
      </w:pPr>
      <w:r>
        <w:t xml:space="preserve">Designate the evidence contract: every deployed mechanism emits a normalized record that can be bound to a control.</w:t>
      </w:r>
    </w:p>
    <w:p>
      <w:pPr>
        <w:pStyle w:val="Compact"/>
        <w:numPr>
          <w:ilvl w:val="0"/>
          <w:numId w:val="1002"/>
        </w:numPr>
      </w:pPr>
      <w:r>
        <w:t xml:space="preserve">Aggregate evidence from identity, endpoint, network, and data-platform sources into one picture, reconciled to the naming-plane join key.</w:t>
      </w:r>
    </w:p>
    <w:p>
      <w:pPr>
        <w:pStyle w:val="Compact"/>
        <w:numPr>
          <w:ilvl w:val="0"/>
          <w:numId w:val="1002"/>
        </w:numPr>
      </w:pPr>
      <w:r>
        <w:t xml:space="preserve">Operationalize drift detection (snapshot, compare, classify, alert, remediate, verify).</w:t>
      </w:r>
    </w:p>
    <w:p>
      <w:pPr>
        <w:pStyle w:val="Compact"/>
        <w:numPr>
          <w:ilvl w:val="0"/>
          <w:numId w:val="1002"/>
        </w:numPr>
      </w:pPr>
      <w:r>
        <w:t xml:space="preserve">Assemble authorization-package artifacts from the evidence stream rather than from manual compilation.</w:t>
      </w:r>
    </w:p>
    <w:p>
      <w:pPr>
        <w:pStyle w:val="Compact"/>
        <w:numPr>
          <w:ilvl w:val="0"/>
          <w:numId w:val="1002"/>
        </w:numPr>
      </w:pPr>
      <w:r>
        <w:t xml:space="preserve">Distinguish proven claims from asserted claims; label coverage honestly.</w:t>
      </w:r>
    </w:p>
    <w:bookmarkEnd w:id="11"/>
    <w:bookmarkStart w:id="14" w:name="scope"/>
    <w:p>
      <w:pPr>
        <w:pStyle w:val="Heading2"/>
      </w:pPr>
      <w:r>
        <w:t xml:space="preserve">4. Scope</w:t>
      </w:r>
    </w:p>
    <w:bookmarkStart w:id="12" w:name="in-scope"/>
    <w:p>
      <w:pPr>
        <w:pStyle w:val="Heading3"/>
      </w:pPr>
      <w:r>
        <w:t xml:space="preserve">In Scope</w:t>
      </w:r>
    </w:p>
    <w:p>
      <w:pPr>
        <w:pStyle w:val="Compact"/>
        <w:numPr>
          <w:ilvl w:val="0"/>
          <w:numId w:val="1003"/>
        </w:numPr>
      </w:pPr>
      <w:r>
        <w:t xml:space="preserve">Evidence contract and normalized record shape.</w:t>
      </w:r>
    </w:p>
    <w:p>
      <w:pPr>
        <w:pStyle w:val="Compact"/>
        <w:numPr>
          <w:ilvl w:val="0"/>
          <w:numId w:val="1003"/>
        </w:numPr>
      </w:pPr>
      <w:r>
        <w:t xml:space="preserve">Aggregation of identity, endpoint, network, and data-platform evidence.</w:t>
      </w:r>
    </w:p>
    <w:p>
      <w:pPr>
        <w:pStyle w:val="Compact"/>
        <w:numPr>
          <w:ilvl w:val="0"/>
          <w:numId w:val="1003"/>
        </w:numPr>
      </w:pPr>
      <w:r>
        <w:t xml:space="preserve">Reconciliation to the authoritative naming and addressing plane.</w:t>
      </w:r>
    </w:p>
    <w:p>
      <w:pPr>
        <w:pStyle w:val="Compact"/>
        <w:numPr>
          <w:ilvl w:val="0"/>
          <w:numId w:val="1003"/>
        </w:numPr>
      </w:pPr>
      <w:r>
        <w:t xml:space="preserve">Drift detection operations (schedule, classification, remediation routing, verification).</w:t>
      </w:r>
    </w:p>
    <w:p>
      <w:pPr>
        <w:pStyle w:val="Compact"/>
        <w:numPr>
          <w:ilvl w:val="0"/>
          <w:numId w:val="1003"/>
        </w:numPr>
      </w:pPr>
      <w:r>
        <w:t xml:space="preserve">Authorization-package assembly from the evidence stream.</w:t>
      </w:r>
    </w:p>
    <w:p>
      <w:pPr>
        <w:pStyle w:val="Compact"/>
        <w:numPr>
          <w:ilvl w:val="0"/>
          <w:numId w:val="1003"/>
        </w:numPr>
      </w:pPr>
      <w:r>
        <w:t xml:space="preserve">Honest coverage reporting (proven vs. asserted).</w:t>
      </w:r>
    </w:p>
    <w:bookmarkEnd w:id="12"/>
    <w:bookmarkStart w:id="13" w:name="out-of-scope-initial-phase"/>
    <w:p>
      <w:pPr>
        <w:pStyle w:val="Heading3"/>
      </w:pPr>
      <w:r>
        <w:t xml:space="preserve">Out of Scope (Initial Phase)</w:t>
      </w:r>
    </w:p>
    <w:p>
      <w:pPr>
        <w:pStyle w:val="Compact"/>
        <w:numPr>
          <w:ilvl w:val="0"/>
          <w:numId w:val="1004"/>
        </w:numPr>
      </w:pPr>
      <w:r>
        <w:t xml:space="preserve">Replacement of the existing continuous-monitoring toolset (the project defines the contract; tools are realizations).</w:t>
      </w:r>
    </w:p>
    <w:p>
      <w:pPr>
        <w:pStyle w:val="Compact"/>
        <w:numPr>
          <w:ilvl w:val="0"/>
          <w:numId w:val="1004"/>
        </w:numPr>
      </w:pPr>
      <w:r>
        <w:t xml:space="preserve">Full FedRAMP 20x Key Security Indicator implementation for every control.</w:t>
      </w:r>
    </w:p>
    <w:p>
      <w:pPr>
        <w:pStyle w:val="Compact"/>
        <w:numPr>
          <w:ilvl w:val="0"/>
          <w:numId w:val="1004"/>
        </w:numPr>
      </w:pPr>
      <w:r>
        <w:t xml:space="preserve">Real-time inline enforcement.</w:t>
      </w:r>
    </w:p>
    <w:bookmarkEnd w:id="13"/>
    <w:bookmarkEnd w:id="14"/>
    <w:bookmarkStart w:id="15" w:name="guiding-principles"/>
    <w:p>
      <w:pPr>
        <w:pStyle w:val="Heading2"/>
      </w:pPr>
      <w:r>
        <w:t xml:space="preserve">5. Guiding Principles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Evidence is a byproduct of the change path.</w:t>
      </w:r>
      <w:r>
        <w:t xml:space="preserve"> </w:t>
      </w:r>
      <w:r>
        <w:t xml:space="preserve">It is not assembled later.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One picture, many sources.</w:t>
      </w:r>
      <w:r>
        <w:t xml:space="preserve"> </w:t>
      </w:r>
      <w:r>
        <w:t xml:space="preserve">Actuation stays platform-native; evidence is unified.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Reconcile to the naming plane.</w:t>
      </w:r>
      <w:r>
        <w:t xml:space="preserve"> </w:t>
      </w:r>
      <w:r>
        <w:t xml:space="preserve">Multiple inventories join on the authoritative asset identity.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Drift is classified.</w:t>
      </w:r>
      <w:r>
        <w:t xml:space="preserve"> </w:t>
      </w:r>
      <w:r>
        <w:t xml:space="preserve">Findings are schema, semantic, provenance, authorization, identity, or contention.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Honesty is a first-class output.</w:t>
      </w:r>
      <w:r>
        <w:t xml:space="preserve"> </w:t>
      </w:r>
      <w:r>
        <w:t xml:space="preserve">Coverage that is not proven is labeled as such.</w:t>
      </w:r>
    </w:p>
    <w:bookmarkEnd w:id="15"/>
    <w:bookmarkStart w:id="16" w:name="success-criteria"/>
    <w:p>
      <w:pPr>
        <w:pStyle w:val="Heading2"/>
      </w:pPr>
      <w:r>
        <w:t xml:space="preserve">6. Success Criteria</w:t>
      </w:r>
    </w:p>
    <w:p>
      <w:pPr>
        <w:pStyle w:val="Compact"/>
        <w:numPr>
          <w:ilvl w:val="0"/>
          <w:numId w:val="1006"/>
        </w:numPr>
      </w:pPr>
      <w:r>
        <w:t xml:space="preserve">Evidence contract documented and at least two sources emitting normalized records.</w:t>
      </w:r>
    </w:p>
    <w:p>
      <w:pPr>
        <w:pStyle w:val="Compact"/>
        <w:numPr>
          <w:ilvl w:val="0"/>
          <w:numId w:val="1006"/>
        </w:numPr>
      </w:pPr>
      <w:r>
        <w:t xml:space="preserve">Pilot aggregation produces one picture for a limited scope, reconciled to the naming plane.</w:t>
      </w:r>
    </w:p>
    <w:p>
      <w:pPr>
        <w:pStyle w:val="Compact"/>
        <w:numPr>
          <w:ilvl w:val="0"/>
          <w:numId w:val="1006"/>
        </w:numPr>
      </w:pPr>
      <w:r>
        <w:t xml:space="preserve">Drift detection operational for at least one object class (identity attributes or device posture).</w:t>
      </w:r>
    </w:p>
    <w:p>
      <w:pPr>
        <w:pStyle w:val="Compact"/>
        <w:numPr>
          <w:ilvl w:val="0"/>
          <w:numId w:val="1006"/>
        </w:numPr>
      </w:pPr>
      <w:r>
        <w:t xml:space="preserve">Authorization-package artifacts can be generated from the evidence stream for the pilot scope.</w:t>
      </w:r>
    </w:p>
    <w:p>
      <w:pPr>
        <w:pStyle w:val="Compact"/>
        <w:numPr>
          <w:ilvl w:val="0"/>
          <w:numId w:val="1006"/>
        </w:numPr>
      </w:pPr>
      <w:r>
        <w:t xml:space="preserve">Coverage report distinguishes proven from asserted claims.</w:t>
      </w:r>
    </w:p>
    <w:bookmarkEnd w:id="16"/>
    <w:bookmarkStart w:id="17" w:name="high-level-approach"/>
    <w:p>
      <w:pPr>
        <w:pStyle w:val="Heading2"/>
      </w:pPr>
      <w:r>
        <w:t xml:space="preserve">7. High-Level Approach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Contract</w:t>
      </w:r>
      <w:r>
        <w:t xml:space="preserve"> </w:t>
      </w:r>
      <w:r>
        <w:t xml:space="preserve">— Define the normalized evidence record and the binding to controls.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Emit</w:t>
      </w:r>
      <w:r>
        <w:t xml:space="preserve"> </w:t>
      </w:r>
      <w:r>
        <w:t xml:space="preserve">— Ensure at least two sources emit records.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Aggregate</w:t>
      </w:r>
      <w:r>
        <w:t xml:space="preserve"> </w:t>
      </w:r>
      <w:r>
        <w:t xml:space="preserve">— Join records on the naming-plane identity into one picture.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Detect</w:t>
      </w:r>
      <w:r>
        <w:t xml:space="preserve"> </w:t>
      </w:r>
      <w:r>
        <w:t xml:space="preserve">— Operationalize drift detection for one object class.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Assemble</w:t>
      </w:r>
      <w:r>
        <w:t xml:space="preserve"> </w:t>
      </w:r>
      <w:r>
        <w:t xml:space="preserve">— Generate authorization-package artifacts from the stream for the pilot.</w:t>
      </w:r>
    </w:p>
    <w:bookmarkEnd w:id="17"/>
    <w:bookmarkStart w:id="20" w:name="risks-and-assumptions"/>
    <w:p>
      <w:pPr>
        <w:pStyle w:val="Heading2"/>
      </w:pPr>
      <w:r>
        <w:t xml:space="preserve">8. Risks and Assumptions</w:t>
      </w:r>
    </w:p>
    <w:bookmarkStart w:id="18" w:name="key-risks"/>
    <w:p>
      <w:pPr>
        <w:pStyle w:val="Heading3"/>
      </w:pPr>
      <w:r>
        <w:t xml:space="preserve">Key Risks</w:t>
      </w:r>
    </w:p>
    <w:p>
      <w:pPr>
        <w:pStyle w:val="Compact"/>
        <w:numPr>
          <w:ilvl w:val="0"/>
          <w:numId w:val="1008"/>
        </w:numPr>
      </w:pPr>
      <w:r>
        <w:t xml:space="preserve">Sources emit proprietary telemetry that cannot be normalized without synthesis.</w:t>
      </w:r>
    </w:p>
    <w:p>
      <w:pPr>
        <w:pStyle w:val="Compact"/>
        <w:numPr>
          <w:ilvl w:val="0"/>
          <w:numId w:val="1008"/>
        </w:numPr>
      </w:pPr>
      <w:r>
        <w:t xml:space="preserve">Naming-plane join key is incomplete, preventing reconciliation.</w:t>
      </w:r>
    </w:p>
    <w:p>
      <w:pPr>
        <w:pStyle w:val="Compact"/>
        <w:numPr>
          <w:ilvl w:val="0"/>
          <w:numId w:val="1008"/>
        </w:numPr>
      </w:pPr>
      <w:r>
        <w:t xml:space="preserve">Drift detection produces more findings than the organization can remediate.</w:t>
      </w:r>
    </w:p>
    <w:p>
      <w:pPr>
        <w:pStyle w:val="Compact"/>
        <w:numPr>
          <w:ilvl w:val="0"/>
          <w:numId w:val="1008"/>
        </w:numPr>
      </w:pPr>
      <w:r>
        <w:t xml:space="preserve">Authorization-package format requirements change.</w:t>
      </w:r>
    </w:p>
    <w:bookmarkEnd w:id="18"/>
    <w:bookmarkStart w:id="19" w:name="assumptions"/>
    <w:p>
      <w:pPr>
        <w:pStyle w:val="Heading3"/>
      </w:pPr>
      <w:r>
        <w:t xml:space="preserve">Assumptions</w:t>
      </w:r>
    </w:p>
    <w:p>
      <w:pPr>
        <w:pStyle w:val="Compact"/>
        <w:numPr>
          <w:ilvl w:val="0"/>
          <w:numId w:val="1009"/>
        </w:numPr>
      </w:pPr>
      <w:r>
        <w:t xml:space="preserve">At least two sources can emit or be adapted to emit normalized records.</w:t>
      </w:r>
    </w:p>
    <w:p>
      <w:pPr>
        <w:pStyle w:val="Compact"/>
        <w:numPr>
          <w:ilvl w:val="0"/>
          <w:numId w:val="1009"/>
        </w:numPr>
      </w:pPr>
      <w:r>
        <w:t xml:space="preserve">An authoritative naming and addressing plane exists or will exist.</w:t>
      </w:r>
    </w:p>
    <w:p>
      <w:pPr>
        <w:pStyle w:val="Compact"/>
        <w:numPr>
          <w:ilvl w:val="0"/>
          <w:numId w:val="1009"/>
        </w:numPr>
      </w:pPr>
      <w:r>
        <w:t xml:space="preserve">Stakeholders accept honest coverage reporting.</w:t>
      </w:r>
    </w:p>
    <w:bookmarkEnd w:id="19"/>
    <w:bookmarkEnd w:id="20"/>
    <w:bookmarkStart w:id="21" w:name="governance-and-ownership"/>
    <w:p>
      <w:pPr>
        <w:pStyle w:val="Heading2"/>
      </w:pPr>
      <w:r>
        <w:t xml:space="preserve">9. Governance and Ownership</w:t>
      </w:r>
    </w:p>
    <w:p>
      <w:pPr>
        <w:pStyle w:val="Compact"/>
        <w:numPr>
          <w:ilvl w:val="0"/>
          <w:numId w:val="1010"/>
        </w:numPr>
      </w:pPr>
      <w:r>
        <w:t xml:space="preserve">Project sponsor: (to be named)</w:t>
      </w:r>
    </w:p>
    <w:p>
      <w:pPr>
        <w:pStyle w:val="Compact"/>
        <w:numPr>
          <w:ilvl w:val="0"/>
          <w:numId w:val="1010"/>
        </w:numPr>
      </w:pPr>
      <w:r>
        <w:t xml:space="preserve">Project lead: (to be named)</w:t>
      </w:r>
    </w:p>
    <w:p>
      <w:pPr>
        <w:pStyle w:val="Compact"/>
        <w:numPr>
          <w:ilvl w:val="0"/>
          <w:numId w:val="1010"/>
        </w:numPr>
      </w:pPr>
      <w:r>
        <w:t xml:space="preserve">Domain leads: Evidence Contract, Aggregation, Drift Detection, Authorization Package</w:t>
      </w:r>
    </w:p>
    <w:bookmarkEnd w:id="21"/>
    <w:bookmarkStart w:id="22" w:name="next-steps"/>
    <w:p>
      <w:pPr>
        <w:pStyle w:val="Heading2"/>
      </w:pPr>
      <w:r>
        <w:t xml:space="preserve">10. Next Steps</w:t>
      </w:r>
    </w:p>
    <w:p>
      <w:pPr>
        <w:pStyle w:val="Compact"/>
        <w:numPr>
          <w:ilvl w:val="0"/>
          <w:numId w:val="1011"/>
        </w:numPr>
      </w:pPr>
      <w:r>
        <w:t xml:space="preserve">Document the evidence record shape and control binding.</w:t>
      </w:r>
    </w:p>
    <w:p>
      <w:pPr>
        <w:pStyle w:val="Compact"/>
        <w:numPr>
          <w:ilvl w:val="0"/>
          <w:numId w:val="1011"/>
        </w:numPr>
      </w:pPr>
      <w:r>
        <w:t xml:space="preserve">Identify the first two sources that can emit.</w:t>
      </w:r>
    </w:p>
    <w:p>
      <w:pPr>
        <w:pStyle w:val="Compact"/>
        <w:numPr>
          <w:ilvl w:val="0"/>
          <w:numId w:val="1011"/>
        </w:numPr>
      </w:pPr>
      <w:r>
        <w:t xml:space="preserve">Confirm the naming-plane join key.</w:t>
      </w:r>
    </w:p>
    <w:p>
      <w:pPr>
        <w:pStyle w:val="Compact"/>
        <w:numPr>
          <w:ilvl w:val="0"/>
          <w:numId w:val="1011"/>
        </w:numPr>
      </w:pPr>
      <w:r>
        <w:t xml:space="preserve">Define the pilot scope and drift object class.</w:t>
      </w:r>
    </w:p>
    <w:p>
      <w:pPr>
        <w:pStyle w:val="Compact"/>
        <w:numPr>
          <w:ilvl w:val="0"/>
          <w:numId w:val="1011"/>
        </w:numPr>
      </w:pPr>
      <w:r>
        <w:t xml:space="preserve">Establish the coverage-reporting format.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charter describes a continuous monitoring and evidence fabric project. It deliberately omits internal architectural decision records and document identifiers.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2026-10-19T10:11:28Z</dcterms:created>
  <dcterms:modified xsi:type="dcterms:W3CDTF">2026-10-19T10:11:28Z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