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bookmarkStart w:id="18" w:name="Xb244db2dcbc5fc4f609007f819ca8bd04303f7e"/>
    <w:p>
      <w:pPr>
        <w:pStyle w:val="Heading1"/>
      </w:pPr>
      <w:r>
        <w:t xml:space="preserve">Data Platform Identity Transformation — Project Plan</w:t>
      </w:r>
    </w:p>
    <w:bookmarkStart w:id="9" w:name="overview"/>
    <w:p>
      <w:pPr>
        <w:pStyle w:val="Heading2"/>
      </w:pPr>
      <w:r>
        <w:t xml:space="preserve">1. Overview</w:t>
      </w:r>
    </w:p>
    <w:p>
      <w:pPr>
        <w:pStyle w:val="FirstParagraph"/>
      </w:pPr>
      <w:r>
        <w:t xml:space="preserve">Modernize data-platform authentication beyond the SQL Server worked example. Follows: Assess → Bridge → Migrate → Eliminate NTLM → Evidence.</w:t>
      </w:r>
    </w:p>
    <w:bookmarkEnd w:id="9"/>
    <w:bookmarkStart w:id="15" w:name="phases"/>
    <w:p>
      <w:pPr>
        <w:pStyle w:val="Heading2"/>
      </w:pPr>
      <w:r>
        <w:t xml:space="preserve">2. Phases</w:t>
      </w:r>
    </w:p>
    <w:bookmarkStart w:id="10" w:name="phase-0-charter-and-alignment"/>
    <w:p>
      <w:pPr>
        <w:pStyle w:val="Heading3"/>
      </w:pPr>
      <w:r>
        <w:t xml:space="preserve">Phase 0 — Charter and Alignment</w:t>
      </w:r>
    </w:p>
    <w:p>
      <w:pPr>
        <w:pStyle w:val="FirstParagraph"/>
      </w:pPr>
      <w:r>
        <w:t xml:space="preserve">Confirm pilot engine, scope, and evidence expectations.</w:t>
      </w:r>
    </w:p>
    <w:bookmarkEnd w:id="10"/>
    <w:bookmarkStart w:id="11" w:name="phase-1-assess"/>
    <w:p>
      <w:pPr>
        <w:pStyle w:val="Heading3"/>
      </w:pPr>
      <w:r>
        <w:t xml:space="preserve">Phase 1 — Assess</w:t>
      </w:r>
    </w:p>
    <w:p>
      <w:pPr>
        <w:pStyle w:val="FirstParagraph"/>
      </w:pPr>
      <w:r>
        <w:t xml:space="preserve">Inventory engines, authentication methods, stored credentials, and NTLM usage.</w:t>
      </w:r>
    </w:p>
    <w:bookmarkEnd w:id="11"/>
    <w:bookmarkStart w:id="12" w:name="phase-2-bridge"/>
    <w:p>
      <w:pPr>
        <w:pStyle w:val="Heading3"/>
      </w:pPr>
      <w:r>
        <w:t xml:space="preserve">Phase 2 — Bridge</w:t>
      </w:r>
    </w:p>
    <w:p>
      <w:pPr>
        <w:pStyle w:val="FirstParagraph"/>
      </w:pPr>
      <w:r>
        <w:t xml:space="preserve">Introduce token-based or managed-identity authentication alongside existing methods for the pilot.</w:t>
      </w:r>
    </w:p>
    <w:bookmarkEnd w:id="12"/>
    <w:bookmarkStart w:id="13" w:name="phase-3-migrate"/>
    <w:p>
      <w:pPr>
        <w:pStyle w:val="Heading3"/>
      </w:pPr>
      <w:r>
        <w:t xml:space="preserve">Phase 3 — Migrate</w:t>
      </w:r>
    </w:p>
    <w:p>
      <w:pPr>
        <w:pStyle w:val="FirstParagraph"/>
      </w:pPr>
      <w:r>
        <w:t xml:space="preserve">Move pilot workloads. Retire stored credentials for the migrated scope. Move application-tier access to managed identity or scoped credentials where feasible.</w:t>
      </w:r>
    </w:p>
    <w:bookmarkEnd w:id="13"/>
    <w:bookmarkStart w:id="14" w:name="phase-4-ntlm-elimination-and-evidence"/>
    <w:p>
      <w:pPr>
        <w:pStyle w:val="Heading3"/>
      </w:pPr>
      <w:r>
        <w:t xml:space="preserve">Phase 4 — NTLM Elimination and Evidence</w:t>
      </w:r>
    </w:p>
    <w:p>
      <w:pPr>
        <w:pStyle w:val="FirstParagraph"/>
      </w:pPr>
      <w:r>
        <w:t xml:space="preserve">Restrict NTLM after audit. Emit authentication evidence. Document network-physics constraints for any consolidation under consideration.</w:t>
      </w:r>
    </w:p>
    <w:bookmarkEnd w:id="14"/>
    <w:bookmarkEnd w:id="15"/>
    <w:bookmarkStart w:id="16" w:name="success-measures"/>
    <w:p>
      <w:pPr>
        <w:pStyle w:val="Heading2"/>
      </w:pPr>
      <w:r>
        <w:t xml:space="preserve">3. Success Measures</w:t>
      </w:r>
    </w:p>
    <w:p>
      <w:pPr>
        <w:pStyle w:val="Compact"/>
        <w:numPr>
          <w:ilvl w:val="0"/>
          <w:numId w:val="1001"/>
        </w:numPr>
      </w:pPr>
      <w:r>
        <w:t xml:space="preserve">Estate assessed.</w:t>
      </w:r>
    </w:p>
    <w:p>
      <w:pPr>
        <w:pStyle w:val="Compact"/>
        <w:numPr>
          <w:ilvl w:val="0"/>
          <w:numId w:val="1001"/>
        </w:numPr>
      </w:pPr>
      <w:r>
        <w:t xml:space="preserve">One engine migrated for pilot scope.</w:t>
      </w:r>
    </w:p>
    <w:p>
      <w:pPr>
        <w:pStyle w:val="Compact"/>
        <w:numPr>
          <w:ilvl w:val="0"/>
          <w:numId w:val="1001"/>
        </w:numPr>
      </w:pPr>
      <w:r>
        <w:t xml:space="preserve">NTLM restriction plan documented.</w:t>
      </w:r>
    </w:p>
    <w:p>
      <w:pPr>
        <w:pStyle w:val="Compact"/>
        <w:numPr>
          <w:ilvl w:val="0"/>
          <w:numId w:val="1001"/>
        </w:numPr>
      </w:pPr>
      <w:r>
        <w:t xml:space="preserve">Application-tier access uses managed identity or scoped credentials.</w:t>
      </w:r>
    </w:p>
    <w:p>
      <w:pPr>
        <w:pStyle w:val="Compact"/>
        <w:numPr>
          <w:ilvl w:val="0"/>
          <w:numId w:val="1001"/>
        </w:numPr>
      </w:pPr>
      <w:r>
        <w:t xml:space="preserve">Authentication evidence available.</w:t>
      </w:r>
    </w:p>
    <w:p>
      <w:pPr>
        <w:pStyle w:val="Compact"/>
        <w:numPr>
          <w:ilvl w:val="0"/>
          <w:numId w:val="1001"/>
        </w:numPr>
      </w:pPr>
      <w:r>
        <w:t xml:space="preserve">Network-physics constraints documented.</w:t>
      </w:r>
    </w:p>
    <w:bookmarkEnd w:id="16"/>
    <w:bookmarkStart w:id="17" w:name="immediate-next-actions"/>
    <w:p>
      <w:pPr>
        <w:pStyle w:val="Heading2"/>
      </w:pPr>
      <w:r>
        <w:t xml:space="preserve">4. Immediate Next Actions</w:t>
      </w:r>
    </w:p>
    <w:p>
      <w:pPr>
        <w:pStyle w:val="Compact"/>
        <w:numPr>
          <w:ilvl w:val="0"/>
          <w:numId w:val="1002"/>
        </w:numPr>
      </w:pPr>
      <w:r>
        <w:t xml:space="preserve">Inventory engines and authentication methods.</w:t>
      </w:r>
    </w:p>
    <w:p>
      <w:pPr>
        <w:pStyle w:val="Compact"/>
        <w:numPr>
          <w:ilvl w:val="0"/>
          <w:numId w:val="1002"/>
        </w:numPr>
      </w:pPr>
      <w:r>
        <w:t xml:space="preserve">Identify the pilot engine.</w:t>
      </w:r>
    </w:p>
    <w:p>
      <w:pPr>
        <w:pStyle w:val="Compact"/>
        <w:numPr>
          <w:ilvl w:val="0"/>
          <w:numId w:val="1002"/>
        </w:numPr>
      </w:pPr>
      <w:r>
        <w:t xml:space="preserve">Confirm managed-identity or token support.</w:t>
      </w:r>
    </w:p>
    <w:p>
      <w:pPr>
        <w:pStyle w:val="Compact"/>
        <w:numPr>
          <w:ilvl w:val="0"/>
          <w:numId w:val="1002"/>
        </w:numPr>
      </w:pPr>
      <w:r>
        <w:t xml:space="preserve">Document NTLM dependencies.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/>
          <w:iCs/>
        </w:rPr>
        <w:t xml:space="preserve">Project artifact. No internal architectural decision record identifiers.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/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keepLines/>
    </w:pPr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uiPriority w:val="59"/>
    <w:qFormat/>
    <w:tblPr>
      <w:tblInd w:type="dxa" w:w="0"/>
      <w:tblBorders>
        <w:top w:color="0078D4" w:space="0" w:sz="12" w:val="single"/>
        <w:bottom w:color="0078D4" w:space="0" w:sz="12" w:val="single"/>
        <w:left w:val="nil"/>
        <w:right w:val="nil"/>
        <w:insideH w:color="D1D5DA" w:space="0" w:sz="4" w:val="single"/>
        <w:insideV w:val="nil"/>
      </w:tblBorders>
      <w:tblCellMar>
        <w:top w:type="dxa" w:w="80"/>
        <w:left w:type="dxa" w:w="108"/>
        <w:bottom w:type="dxa" w:w="80"/>
        <w:right w:type="dxa" w:w="108"/>
      </w:tblCellMar>
    </w:tblPr>
    <w:tblStylePr w:type="firstRow">
      <w:rPr>
        <w:b/>
      </w:rPr>
      <w:tcPr>
        <w:tcBorders>
          <w:bottom w:color="0078D4" w:space="0" w:sz="8"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SourceCode" w:type="paragraph">
    <w:name w:val="Source Code"/>
    <w:basedOn w:val="Normal"/>
    <w:link w:val="VerbatimChar"/>
    <w:pPr>
      <w:pBdr>
        <w:top w:color="D1D5DA" w:space="6" w:sz="6" w:val="single"/>
        <w:left w:color="D1D5DA" w:space="6" w:sz="6" w:val="single"/>
        <w:bottom w:color="D1D5DA" w:space="6" w:sz="6" w:val="single"/>
        <w:right w:color="D1D5DA" w:space="6" w:sz="6" w:val="single"/>
      </w:pBdr>
      <w:shd w:fill="F6F8FA" w:val="clear"/>
      <w:wordWrap w:val="off"/>
      <w:spacing w:after="0" w:before="0" w:line="240" w:lineRule="auto"/>
      <w:ind w:left="144" w:right="144"/>
      <w:contextualSpacing/>
    </w:pPr>
    <w:rPr>
      <w:rFonts w:ascii="Consolas" w:hAnsi="Consolas"/>
      <w:color w:val="24292E"/>
      <w:sz w:val="18"/>
    </w:rPr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2026-10-19T10:11:29Z</dcterms:created>
  <dcterms:modified xsi:type="dcterms:W3CDTF">2026-10-19T10:11:29Z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header-includes">
    <vt:lpwstr/>
  </property>
  <property fmtid="{D5CDD505-2E9C-101B-9397-08002B2CF9AE}" pid="4" name="include-after">
    <vt:lpwstr/>
  </property>
  <property fmtid="{D5CDD505-2E9C-101B-9397-08002B2CF9AE}" pid="5" name="include-before">
    <vt:lpwstr/>
  </property>
  <property fmtid="{D5CDD505-2E9C-101B-9397-08002B2CF9AE}" pid="6" name="labels">
    <vt:lpwstr/>
  </property>
  <property fmtid="{D5CDD505-2E9C-101B-9397-08002B2CF9AE}" pid="7" name="toc-title">
    <vt:lpwstr>Table of contents</vt:lpwstr>
  </property>
</Properties>
</file>