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0ba876f1df800801c2d6c9cc231cf12615e2f5b"/>
    <w:p>
      <w:pPr>
        <w:pStyle w:val="Heading1"/>
      </w:pPr>
      <w:r>
        <w:t xml:space="preserve">Endpoint &amp; Device Modernization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Move the endpoint estate from Group Policy Object–driven, domain-joined management to a governed, attribute-driven device lifecycle that produces continuous evidence and reduces NTLM and standing-privilege risk.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Endpoints are still largely governed by Group Policy Objects and domain join. Hybrid join has been adopted for connectivity without corresponding governance. NTLM remains a silent fallback. Conditional Access is deployed unevenly. The result is:</w:t>
      </w:r>
    </w:p>
    <w:p>
      <w:pPr>
        <w:pStyle w:val="Compact"/>
        <w:numPr>
          <w:ilvl w:val="0"/>
          <w:numId w:val="1001"/>
        </w:numPr>
      </w:pPr>
      <w:r>
        <w:t xml:space="preserve">Devices that cannot be inventoried or governed once domain controllers are no longer in the path.</w:t>
      </w:r>
    </w:p>
    <w:p>
      <w:pPr>
        <w:pStyle w:val="Compact"/>
        <w:numPr>
          <w:ilvl w:val="0"/>
          <w:numId w:val="1001"/>
        </w:numPr>
      </w:pPr>
      <w:r>
        <w:t xml:space="preserve">Overlapping Group Policy Object and device-management settings that produce unpredictable results.</w:t>
      </w:r>
    </w:p>
    <w:p>
      <w:pPr>
        <w:pStyle w:val="Compact"/>
        <w:numPr>
          <w:ilvl w:val="0"/>
          <w:numId w:val="1001"/>
        </w:numPr>
      </w:pPr>
      <w:r>
        <w:t xml:space="preserve">Premature NTLM restriction that breaks legacy applications, or delayed restriction that leaves the estate exposed.</w:t>
      </w:r>
    </w:p>
    <w:p>
      <w:pPr>
        <w:pStyle w:val="Compact"/>
        <w:numPr>
          <w:ilvl w:val="0"/>
          <w:numId w:val="1001"/>
        </w:numPr>
      </w:pPr>
      <w:r>
        <w:t xml:space="preserve">No continuous evidence of device posture or compliance.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Observe before changing: inventory NTLM usage, service principal names, device-management posture, and Group Policy Object overlap.</w:t>
      </w:r>
    </w:p>
    <w:p>
      <w:pPr>
        <w:pStyle w:val="Compact"/>
        <w:numPr>
          <w:ilvl w:val="0"/>
          <w:numId w:val="1002"/>
        </w:numPr>
      </w:pPr>
      <w:r>
        <w:t xml:space="preserve">Onboard devices to hybrid or cloud-native management under an attribute-driven model.</w:t>
      </w:r>
    </w:p>
    <w:p>
      <w:pPr>
        <w:pStyle w:val="Compact"/>
        <w:numPr>
          <w:ilvl w:val="0"/>
          <w:numId w:val="1002"/>
        </w:numPr>
      </w:pPr>
      <w:r>
        <w:t xml:space="preserve">Sunset Group Policy Objects through a regenerate-not-copy approach, retiring each setting once device management owns it.</w:t>
      </w:r>
    </w:p>
    <w:p>
      <w:pPr>
        <w:pStyle w:val="Compact"/>
        <w:numPr>
          <w:ilvl w:val="0"/>
          <w:numId w:val="1002"/>
        </w:numPr>
      </w:pPr>
      <w:r>
        <w:t xml:space="preserve">Deploy Conditional Access in report-only, then enforce, with break-glass exclusions.</w:t>
      </w:r>
    </w:p>
    <w:p>
      <w:pPr>
        <w:pStyle w:val="Compact"/>
        <w:numPr>
          <w:ilvl w:val="0"/>
          <w:numId w:val="1002"/>
        </w:numPr>
      </w:pPr>
      <w:r>
        <w:t xml:space="preserve">Restrict and ultimately eliminate NTLM after audit confirms legacy dependencies are resolved.</w:t>
      </w:r>
    </w:p>
    <w:p>
      <w:pPr>
        <w:pStyle w:val="Compact"/>
        <w:numPr>
          <w:ilvl w:val="0"/>
          <w:numId w:val="1002"/>
        </w:numPr>
      </w:pPr>
      <w:r>
        <w:t xml:space="preserve">Produce continuous evidence of device posture and compliance.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Device identity and management alignment (hybrid join and cloud-native paths).</w:t>
      </w:r>
    </w:p>
    <w:p>
      <w:pPr>
        <w:pStyle w:val="Compact"/>
        <w:numPr>
          <w:ilvl w:val="0"/>
          <w:numId w:val="1003"/>
        </w:numPr>
      </w:pPr>
      <w:r>
        <w:t xml:space="preserve">Group Policy Object sunset and co-management transition.</w:t>
      </w:r>
    </w:p>
    <w:p>
      <w:pPr>
        <w:pStyle w:val="Compact"/>
        <w:numPr>
          <w:ilvl w:val="0"/>
          <w:numId w:val="1003"/>
        </w:numPr>
      </w:pPr>
      <w:r>
        <w:t xml:space="preserve">Conditional Access baseline (report-only to enforce).</w:t>
      </w:r>
    </w:p>
    <w:p>
      <w:pPr>
        <w:pStyle w:val="Compact"/>
        <w:numPr>
          <w:ilvl w:val="0"/>
          <w:numId w:val="1003"/>
        </w:numPr>
      </w:pPr>
      <w:r>
        <w:t xml:space="preserve">NTLM audit and restriction roadmap.</w:t>
      </w:r>
    </w:p>
    <w:p>
      <w:pPr>
        <w:pStyle w:val="Compact"/>
        <w:numPr>
          <w:ilvl w:val="0"/>
          <w:numId w:val="1003"/>
        </w:numPr>
      </w:pPr>
      <w:r>
        <w:t xml:space="preserve">Service principal name repair and certificate-based authentication where applicable.</w:t>
      </w:r>
    </w:p>
    <w:p>
      <w:pPr>
        <w:pStyle w:val="Compact"/>
        <w:numPr>
          <w:ilvl w:val="0"/>
          <w:numId w:val="1003"/>
        </w:numPr>
      </w:pPr>
      <w:r>
        <w:t xml:space="preserve">Provenance and evidence for device lifecycle changes.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Full domain-unjoin of the existing fleet (treated as a separately sequenced decision).</w:t>
      </w:r>
    </w:p>
    <w:p>
      <w:pPr>
        <w:pStyle w:val="Compact"/>
        <w:numPr>
          <w:ilvl w:val="0"/>
          <w:numId w:val="1004"/>
        </w:numPr>
      </w:pPr>
      <w:r>
        <w:t xml:space="preserve">Application packaging and software distribution redesign.</w:t>
      </w:r>
    </w:p>
    <w:p>
      <w:pPr>
        <w:pStyle w:val="Compact"/>
        <w:numPr>
          <w:ilvl w:val="0"/>
          <w:numId w:val="1004"/>
        </w:numPr>
      </w:pPr>
      <w:r>
        <w:t xml:space="preserve">Non-Windows endpoint platforms beyond inventory.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Observe before you change anything.</w:t>
      </w:r>
      <w:r>
        <w:t xml:space="preserve"> </w:t>
      </w:r>
      <w:r>
        <w:t xml:space="preserve">Audit NTLM, service principal names, and Group Policy Object overlap before restriction or sunset.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Regenerate, not copy.</w:t>
      </w:r>
      <w:r>
        <w:t xml:space="preserve"> </w:t>
      </w:r>
      <w:r>
        <w:t xml:space="preserve">Replacement policies are authored against the target model, not copied from Group Policy Objects.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Last-writer-wins is a hazard.</w:t>
      </w:r>
      <w:r>
        <w:t xml:space="preserve"> </w:t>
      </w:r>
      <w:r>
        <w:t xml:space="preserve">Overlapping Group Policy Object and device-management settings must be documented and retired.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Report-only first.</w:t>
      </w:r>
      <w:r>
        <w:t xml:space="preserve"> </w:t>
      </w:r>
      <w:r>
        <w:t xml:space="preserve">Conditional Access is deployed in report-only before enforcement.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Break-glass is governed.</w:t>
      </w:r>
      <w:r>
        <w:t xml:space="preserve"> </w:t>
      </w:r>
      <w:r>
        <w:t xml:space="preserve">Break-glass accounts are excluded and documented, not unwritten exceptions.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Domain-unjoin is separate.</w:t>
      </w:r>
      <w:r>
        <w:t xml:space="preserve"> </w:t>
      </w:r>
      <w:r>
        <w:t xml:space="preserve">Onboarding does not imply domain-unjoin.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Observation phase complete: NTLM usage, service principal names, and Group Policy Object overlap inventoried.</w:t>
      </w:r>
    </w:p>
    <w:p>
      <w:pPr>
        <w:pStyle w:val="Compact"/>
        <w:numPr>
          <w:ilvl w:val="0"/>
          <w:numId w:val="1006"/>
        </w:numPr>
      </w:pPr>
      <w:r>
        <w:t xml:space="preserve">Pilot population onboarded to governed device management with attribute-driven scoping.</w:t>
      </w:r>
    </w:p>
    <w:p>
      <w:pPr>
        <w:pStyle w:val="Compact"/>
        <w:numPr>
          <w:ilvl w:val="0"/>
          <w:numId w:val="1006"/>
        </w:numPr>
      </w:pPr>
      <w:r>
        <w:t xml:space="preserve">At least one Group Policy Object setting class regenerated and retired.</w:t>
      </w:r>
    </w:p>
    <w:p>
      <w:pPr>
        <w:pStyle w:val="Compact"/>
        <w:numPr>
          <w:ilvl w:val="0"/>
          <w:numId w:val="1006"/>
        </w:numPr>
      </w:pPr>
      <w:r>
        <w:t xml:space="preserve">Conditional Access baseline in report-only for the pilot; enforcement plan defined.</w:t>
      </w:r>
    </w:p>
    <w:p>
      <w:pPr>
        <w:pStyle w:val="Compact"/>
        <w:numPr>
          <w:ilvl w:val="0"/>
          <w:numId w:val="1006"/>
        </w:numPr>
      </w:pPr>
      <w:r>
        <w:t xml:space="preserve">NTLM restriction plan documented with legacy dependencies identified.</w:t>
      </w:r>
    </w:p>
    <w:p>
      <w:pPr>
        <w:pStyle w:val="Compact"/>
        <w:numPr>
          <w:ilvl w:val="0"/>
          <w:numId w:val="1006"/>
        </w:numPr>
      </w:pPr>
      <w:r>
        <w:t xml:space="preserve">Evidence of device posture available for the pilot.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Observe</w:t>
      </w:r>
      <w:r>
        <w:t xml:space="preserve"> </w:t>
      </w:r>
      <w:r>
        <w:t xml:space="preserve">— Inventory NTLM, service principal names, Group Policy Object overlap, and current device-management posture.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Onboard</w:t>
      </w:r>
      <w:r>
        <w:t xml:space="preserve"> </w:t>
      </w:r>
      <w:r>
        <w:t xml:space="preserve">— Bring a pilot population under hybrid or cloud-native management with attributes.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Harden</w:t>
      </w:r>
      <w:r>
        <w:t xml:space="preserve"> </w:t>
      </w:r>
      <w:r>
        <w:t xml:space="preserve">— Regenerate selected Group Policy Object settings, deploy Conditional Access in report-only, and begin NTLM restriction where safe.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Watch</w:t>
      </w:r>
      <w:r>
        <w:t xml:space="preserve"> </w:t>
      </w:r>
      <w:r>
        <w:t xml:space="preserve">— Emit continuous evidence and detect drift between intended and observed device state.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Premature NTLM restriction breaks legacy applications.</w:t>
      </w:r>
    </w:p>
    <w:p>
      <w:pPr>
        <w:pStyle w:val="Compact"/>
        <w:numPr>
          <w:ilvl w:val="0"/>
          <w:numId w:val="1008"/>
        </w:numPr>
      </w:pPr>
      <w:r>
        <w:t xml:space="preserve">Overlapping Group Policy Object and device-management settings produce unpredictable results.</w:t>
      </w:r>
    </w:p>
    <w:p>
      <w:pPr>
        <w:pStyle w:val="Compact"/>
        <w:numPr>
          <w:ilvl w:val="0"/>
          <w:numId w:val="1008"/>
        </w:numPr>
      </w:pPr>
      <w:r>
        <w:t xml:space="preserve">Service principal secrets embedded in Group Policy Object startup scripts.</w:t>
      </w:r>
    </w:p>
    <w:p>
      <w:pPr>
        <w:pStyle w:val="Compact"/>
        <w:numPr>
          <w:ilvl w:val="0"/>
          <w:numId w:val="1008"/>
        </w:numPr>
      </w:pPr>
      <w:r>
        <w:t xml:space="preserve">Incomplete attribute population causes policy bypass.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 device management platform is available.</w:t>
      </w:r>
    </w:p>
    <w:p>
      <w:pPr>
        <w:pStyle w:val="Compact"/>
        <w:numPr>
          <w:ilvl w:val="0"/>
          <w:numId w:val="1009"/>
        </w:numPr>
      </w:pPr>
      <w:r>
        <w:t xml:space="preserve">Stakeholders accept that domain-unjoin is a later, separate decision.</w:t>
      </w:r>
    </w:p>
    <w:p>
      <w:pPr>
        <w:pStyle w:val="Compact"/>
        <w:numPr>
          <w:ilvl w:val="0"/>
          <w:numId w:val="1009"/>
        </w:numPr>
      </w:pPr>
      <w:r>
        <w:t xml:space="preserve">Break-glass accounts can be identified and excluded.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Device Identity, Group Policy Object Sunset, Conditional Access, NTLM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Inventory NTLM usage and service principal names.</w:t>
      </w:r>
    </w:p>
    <w:p>
      <w:pPr>
        <w:pStyle w:val="Compact"/>
        <w:numPr>
          <w:ilvl w:val="0"/>
          <w:numId w:val="1011"/>
        </w:numPr>
      </w:pPr>
      <w:r>
        <w:t xml:space="preserve">Map Group Policy Object settings that overlap with device management.</w:t>
      </w:r>
    </w:p>
    <w:p>
      <w:pPr>
        <w:pStyle w:val="Compact"/>
        <w:numPr>
          <w:ilvl w:val="0"/>
          <w:numId w:val="1011"/>
        </w:numPr>
      </w:pPr>
      <w:r>
        <w:t xml:space="preserve">Define the pilot population and attribute requirements.</w:t>
      </w:r>
    </w:p>
    <w:p>
      <w:pPr>
        <w:pStyle w:val="Compact"/>
        <w:numPr>
          <w:ilvl w:val="0"/>
          <w:numId w:val="1011"/>
        </w:numPr>
      </w:pPr>
      <w:r>
        <w:t xml:space="preserve">Document break-glass accounts.</w:t>
      </w:r>
    </w:p>
    <w:p>
      <w:pPr>
        <w:pStyle w:val="Compact"/>
        <w:numPr>
          <w:ilvl w:val="0"/>
          <w:numId w:val="1011"/>
        </w:numPr>
      </w:pPr>
      <w:r>
        <w:t xml:space="preserve">Establish evidence expectations for device posture.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an endpoint and device modernization project. It deliberately omits internal architectural decision records and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2026-10-19T10:11:29Z</dcterms:created>
  <dcterms:modified xsi:type="dcterms:W3CDTF">2026-10-19T10:11:29Z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