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8" w:name="Xbe77b3a0a2eb9143c5541012b1ef5383ad64ead"/>
    <w:p>
      <w:pPr>
        <w:pStyle w:val="Heading1"/>
      </w:pPr>
      <w:r>
        <w:t xml:space="preserve">Endpoint &amp; Device Modernization — Project Plan</w:t>
      </w:r>
    </w:p>
    <w:bookmarkStart w:id="9" w:name="overview"/>
    <w:p>
      <w:pPr>
        <w:pStyle w:val="Heading2"/>
      </w:pPr>
      <w:r>
        <w:t xml:space="preserve">1. Overview</w:t>
      </w:r>
    </w:p>
    <w:p>
      <w:pPr>
        <w:pStyle w:val="FirstParagraph"/>
      </w:pPr>
      <w:r>
        <w:t xml:space="preserve">Move from Group Policy Object–driven management to a governed device lifecycle. Follows: Observe → Onboard → Harden → Watch.</w:t>
      </w:r>
    </w:p>
    <w:bookmarkEnd w:id="9"/>
    <w:bookmarkStart w:id="15" w:name="phases"/>
    <w:p>
      <w:pPr>
        <w:pStyle w:val="Heading2"/>
      </w:pPr>
      <w:r>
        <w:t xml:space="preserve">2. Phases</w:t>
      </w:r>
    </w:p>
    <w:bookmarkStart w:id="10" w:name="phase-0-charter-and-alignment"/>
    <w:p>
      <w:pPr>
        <w:pStyle w:val="Heading3"/>
      </w:pPr>
      <w:r>
        <w:t xml:space="preserve">Phase 0 — Charter and Alignment</w:t>
      </w:r>
    </w:p>
    <w:p>
      <w:pPr>
        <w:pStyle w:val="FirstParagraph"/>
      </w:pPr>
      <w:r>
        <w:t xml:space="preserve">Confirm scope, pilot population, and evidence expectations.</w:t>
      </w:r>
    </w:p>
    <w:bookmarkEnd w:id="10"/>
    <w:bookmarkStart w:id="11" w:name="phase-1-observe"/>
    <w:p>
      <w:pPr>
        <w:pStyle w:val="Heading3"/>
      </w:pPr>
      <w:r>
        <w:t xml:space="preserve">Phase 1 — Observe</w:t>
      </w:r>
    </w:p>
    <w:p>
      <w:pPr>
        <w:pStyle w:val="FirstParagraph"/>
      </w:pPr>
      <w:r>
        <w:t xml:space="preserve">Inventory NTLM usage, service principal names, Group Policy Object overlap with device management, and current device-management posture.</w:t>
      </w:r>
    </w:p>
    <w:bookmarkEnd w:id="11"/>
    <w:bookmarkStart w:id="12" w:name="phase-2-onboard"/>
    <w:p>
      <w:pPr>
        <w:pStyle w:val="Heading3"/>
      </w:pPr>
      <w:r>
        <w:t xml:space="preserve">Phase 2 — Onboard</w:t>
      </w:r>
    </w:p>
    <w:p>
      <w:pPr>
        <w:pStyle w:val="FirstParagraph"/>
      </w:pPr>
      <w:r>
        <w:t xml:space="preserve">Bring the pilot population under hybrid or cloud-native management with organizational attributes populated.</w:t>
      </w:r>
    </w:p>
    <w:bookmarkEnd w:id="12"/>
    <w:bookmarkStart w:id="13" w:name="phase-3-harden"/>
    <w:p>
      <w:pPr>
        <w:pStyle w:val="Heading3"/>
      </w:pPr>
      <w:r>
        <w:t xml:space="preserve">Phase 3 — Harden</w:t>
      </w:r>
    </w:p>
    <w:p>
      <w:pPr>
        <w:pStyle w:val="FirstParagraph"/>
      </w:pPr>
      <w:r>
        <w:t xml:space="preserve">Regenerate selected Group Policy Object settings into device-management policies and retire the Group Policy Object copies. Deploy Conditional Access in report-only. Begin NTLM restriction only where audit confirms safety.</w:t>
      </w:r>
    </w:p>
    <w:bookmarkEnd w:id="13"/>
    <w:bookmarkStart w:id="14" w:name="phase-4-watch"/>
    <w:p>
      <w:pPr>
        <w:pStyle w:val="Heading3"/>
      </w:pPr>
      <w:r>
        <w:t xml:space="preserve">Phase 4 — Watch</w:t>
      </w:r>
    </w:p>
    <w:p>
      <w:pPr>
        <w:pStyle w:val="FirstParagraph"/>
      </w:pPr>
      <w:r>
        <w:t xml:space="preserve">Emit continuous device-posture evidence. Detect drift between intended and observed state. Plan enforcement promotion for Conditional Access.</w:t>
      </w:r>
    </w:p>
    <w:bookmarkEnd w:id="14"/>
    <w:bookmarkEnd w:id="15"/>
    <w:bookmarkStart w:id="16" w:name="success-measures"/>
    <w:p>
      <w:pPr>
        <w:pStyle w:val="Heading2"/>
      </w:pPr>
      <w:r>
        <w:t xml:space="preserve">3. Success Measures</w:t>
      </w:r>
    </w:p>
    <w:p>
      <w:pPr>
        <w:pStyle w:val="Compact"/>
        <w:numPr>
          <w:ilvl w:val="0"/>
          <w:numId w:val="1001"/>
        </w:numPr>
      </w:pPr>
      <w:r>
        <w:t xml:space="preserve">Observation inventory complete.</w:t>
      </w:r>
    </w:p>
    <w:p>
      <w:pPr>
        <w:pStyle w:val="Compact"/>
        <w:numPr>
          <w:ilvl w:val="0"/>
          <w:numId w:val="1001"/>
        </w:numPr>
      </w:pPr>
      <w:r>
        <w:t xml:space="preserve">Pilot onboarded with attributes.</w:t>
      </w:r>
    </w:p>
    <w:p>
      <w:pPr>
        <w:pStyle w:val="Compact"/>
        <w:numPr>
          <w:ilvl w:val="0"/>
          <w:numId w:val="1001"/>
        </w:numPr>
      </w:pPr>
      <w:r>
        <w:t xml:space="preserve">At least one Group Policy Object setting class regenerated and retired.</w:t>
      </w:r>
    </w:p>
    <w:p>
      <w:pPr>
        <w:pStyle w:val="Compact"/>
        <w:numPr>
          <w:ilvl w:val="0"/>
          <w:numId w:val="1001"/>
        </w:numPr>
      </w:pPr>
      <w:r>
        <w:t xml:space="preserve">Conditional Access in report-only; enforcement plan defined.</w:t>
      </w:r>
    </w:p>
    <w:p>
      <w:pPr>
        <w:pStyle w:val="Compact"/>
        <w:numPr>
          <w:ilvl w:val="0"/>
          <w:numId w:val="1001"/>
        </w:numPr>
      </w:pPr>
      <w:r>
        <w:t xml:space="preserve">NTLM restriction plan documented.</w:t>
      </w:r>
    </w:p>
    <w:p>
      <w:pPr>
        <w:pStyle w:val="Compact"/>
        <w:numPr>
          <w:ilvl w:val="0"/>
          <w:numId w:val="1001"/>
        </w:numPr>
      </w:pPr>
      <w:r>
        <w:t xml:space="preserve">Device-posture evidence available.</w:t>
      </w:r>
    </w:p>
    <w:bookmarkEnd w:id="16"/>
    <w:bookmarkStart w:id="17" w:name="immediate-next-actions"/>
    <w:p>
      <w:pPr>
        <w:pStyle w:val="Heading2"/>
      </w:pPr>
      <w:r>
        <w:t xml:space="preserve">4. Immediate Next Actions</w:t>
      </w:r>
    </w:p>
    <w:p>
      <w:pPr>
        <w:pStyle w:val="Compact"/>
        <w:numPr>
          <w:ilvl w:val="0"/>
          <w:numId w:val="1002"/>
        </w:numPr>
      </w:pPr>
      <w:r>
        <w:t xml:space="preserve">Inventory NTLM and service principal names.</w:t>
      </w:r>
    </w:p>
    <w:p>
      <w:pPr>
        <w:pStyle w:val="Compact"/>
        <w:numPr>
          <w:ilvl w:val="0"/>
          <w:numId w:val="1002"/>
        </w:numPr>
      </w:pPr>
      <w:r>
        <w:t xml:space="preserve">Map overlapping Group Policy Object settings.</w:t>
      </w:r>
    </w:p>
    <w:p>
      <w:pPr>
        <w:pStyle w:val="Compact"/>
        <w:numPr>
          <w:ilvl w:val="0"/>
          <w:numId w:val="1002"/>
        </w:numPr>
      </w:pPr>
      <w:r>
        <w:t xml:space="preserve">Define pilot population and attribute requirements.</w:t>
      </w:r>
    </w:p>
    <w:p>
      <w:pPr>
        <w:pStyle w:val="Compact"/>
        <w:numPr>
          <w:ilvl w:val="0"/>
          <w:numId w:val="1002"/>
        </w:numPr>
      </w:pPr>
      <w:r>
        <w:t xml:space="preserve">Document break-glass accounts.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Project artifact. No internal architectural decision record identifiers.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2026-10-19T10:11:30Z</dcterms:created>
  <dcterms:modified xsi:type="dcterms:W3CDTF">2026-10-19T10:11:30Z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header-includes">
    <vt:lpwstr/>
  </property>
  <property fmtid="{D5CDD505-2E9C-101B-9397-08002B2CF9AE}" pid="4" name="include-after">
    <vt:lpwstr/>
  </property>
  <property fmtid="{D5CDD505-2E9C-101B-9397-08002B2CF9AE}" pid="5" name="include-before">
    <vt:lpwstr/>
  </property>
  <property fmtid="{D5CDD505-2E9C-101B-9397-08002B2CF9AE}" pid="6" name="labels">
    <vt:lpwstr/>
  </property>
  <property fmtid="{D5CDD505-2E9C-101B-9397-08002B2CF9AE}" pid="7" name="toc-title">
    <vt:lpwstr>Table of contents</vt:lpwstr>
  </property>
</Properties>
</file>