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3" w:name="Xfa5db94a5799ac36f92b83d51a89bc9c44ec582"/>
    <w:p>
      <w:pPr>
        <w:pStyle w:val="Heading1"/>
      </w:pPr>
      <w:r>
        <w:t xml:space="preserve">Identity Lifecycle &amp; Provisioning — Project Charter</w:t>
      </w:r>
    </w:p>
    <w:bookmarkStart w:id="9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Establish a governed identity lifecycle so that every human and non-human identity originates from an authoritative source, receives only the access its attributes justify, and produces continuous evidence of its state and changes.</w:t>
      </w:r>
    </w:p>
    <w:p>
      <w:pPr>
        <w:pStyle w:val="BodyText"/>
      </w:pPr>
      <w:r>
        <w:t xml:space="preserve">The project turns the five-clause change path (originate → authorize → execute under least privilege → close with provenance → emit evidence) into an operational program for joiner, mover, leaver, and non-human identity events.</w:t>
      </w:r>
    </w:p>
    <w:bookmarkEnd w:id="9"/>
    <w:bookmarkStart w:id="10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Identity lifecycle is still largely manual or semi-automated. Joiner, mover, and leaver events arrive through tickets, spreadsheets, or local directory changes. Non-human identities (service accounts, application registrations, devices) lack a clear origin. Access accumulates and is rarely reviewed. The result is:</w:t>
      </w:r>
    </w:p>
    <w:p>
      <w:pPr>
        <w:pStyle w:val="Compact"/>
        <w:numPr>
          <w:ilvl w:val="0"/>
          <w:numId w:val="1001"/>
        </w:numPr>
      </w:pPr>
      <w:r>
        <w:t xml:space="preserve">Orphaned and over-privileged accounts that persist after people leave or roles change.</w:t>
      </w:r>
    </w:p>
    <w:p>
      <w:pPr>
        <w:pStyle w:val="Compact"/>
        <w:numPr>
          <w:ilvl w:val="0"/>
          <w:numId w:val="1001"/>
        </w:numPr>
      </w:pPr>
      <w:r>
        <w:t xml:space="preserve">No reliable answer to “who authorized this access, and when does it expire?”</w:t>
      </w:r>
    </w:p>
    <w:p>
      <w:pPr>
        <w:pStyle w:val="Compact"/>
        <w:numPr>
          <w:ilvl w:val="0"/>
          <w:numId w:val="1001"/>
        </w:numPr>
      </w:pPr>
      <w:r>
        <w:t xml:space="preserve">Competing sources of truth for organizational placement and identity attributes.</w:t>
      </w:r>
    </w:p>
    <w:p>
      <w:pPr>
        <w:pStyle w:val="Compact"/>
        <w:numPr>
          <w:ilvl w:val="0"/>
          <w:numId w:val="1001"/>
        </w:numPr>
      </w:pPr>
      <w:r>
        <w:t xml:space="preserve">Evidence of identity state assembled after the fact rather than produced by the change itself.</w:t>
      </w:r>
    </w:p>
    <w:p>
      <w:pPr>
        <w:pStyle w:val="Compact"/>
        <w:numPr>
          <w:ilvl w:val="0"/>
          <w:numId w:val="1001"/>
        </w:numPr>
      </w:pPr>
      <w:r>
        <w:t xml:space="preserve">High residual risk in privileged and administrative identities.</w:t>
      </w:r>
    </w:p>
    <w:bookmarkEnd w:id="10"/>
    <w:bookmarkStart w:id="11" w:name="objectives"/>
    <w:p>
      <w:pPr>
        <w:pStyle w:val="Heading2"/>
      </w:pPr>
      <w:r>
        <w:t xml:space="preserve">3. Objectives</w:t>
      </w:r>
    </w:p>
    <w:p>
      <w:pPr>
        <w:pStyle w:val="Compact"/>
        <w:numPr>
          <w:ilvl w:val="0"/>
          <w:numId w:val="1002"/>
        </w:numPr>
      </w:pPr>
      <w:r>
        <w:t xml:space="preserve">Designate an authoritative origin for human identity lifecycle events (typically the HR system) and for non-human identity classes.</w:t>
      </w:r>
    </w:p>
    <w:p>
      <w:pPr>
        <w:pStyle w:val="Compact"/>
        <w:numPr>
          <w:ilvl w:val="0"/>
          <w:numId w:val="1002"/>
        </w:numPr>
      </w:pPr>
      <w:r>
        <w:t xml:space="preserve">Implement joiner, mover, and leaver flows that originate from that source, carry an authorization, execute under least privilege, and close with provenance.</w:t>
      </w:r>
    </w:p>
    <w:p>
      <w:pPr>
        <w:pStyle w:val="Compact"/>
        <w:numPr>
          <w:ilvl w:val="0"/>
          <w:numId w:val="1002"/>
        </w:numPr>
      </w:pPr>
      <w:r>
        <w:t xml:space="preserve">Drive access assignment from organizational attributes rather than manual group membership.</w:t>
      </w:r>
    </w:p>
    <w:p>
      <w:pPr>
        <w:pStyle w:val="Compact"/>
        <w:numPr>
          <w:ilvl w:val="0"/>
          <w:numId w:val="1002"/>
        </w:numPr>
      </w:pPr>
      <w:r>
        <w:t xml:space="preserve">Establish just-in-time elevation for privileged roles and eliminate standing administrative privilege where feasible.</w:t>
      </w:r>
    </w:p>
    <w:p>
      <w:pPr>
        <w:pStyle w:val="Compact"/>
        <w:numPr>
          <w:ilvl w:val="0"/>
          <w:numId w:val="1002"/>
        </w:numPr>
      </w:pPr>
      <w:r>
        <w:t xml:space="preserve">Produce machine-readable evidence of every lifecycle change for continuous monitoring and access review.</w:t>
      </w:r>
    </w:p>
    <w:p>
      <w:pPr>
        <w:pStyle w:val="Compact"/>
        <w:numPr>
          <w:ilvl w:val="0"/>
          <w:numId w:val="1002"/>
        </w:numPr>
      </w:pPr>
      <w:r>
        <w:t xml:space="preserve">Define and operate an access certification cadence for high-risk entitlements.</w:t>
      </w:r>
    </w:p>
    <w:bookmarkEnd w:id="11"/>
    <w:bookmarkStart w:id="14" w:name="scope"/>
    <w:p>
      <w:pPr>
        <w:pStyle w:val="Heading2"/>
      </w:pPr>
      <w:r>
        <w:t xml:space="preserve">4. Scope</w:t>
      </w:r>
    </w:p>
    <w:bookmarkStart w:id="12" w:name="in-scope"/>
    <w:p>
      <w:pPr>
        <w:pStyle w:val="Heading3"/>
      </w:pPr>
      <w:r>
        <w:t xml:space="preserve">In Scope</w:t>
      </w:r>
    </w:p>
    <w:p>
      <w:pPr>
        <w:pStyle w:val="Compact"/>
        <w:numPr>
          <w:ilvl w:val="0"/>
          <w:numId w:val="1003"/>
        </w:numPr>
      </w:pPr>
      <w:r>
        <w:t xml:space="preserve">Human identity lifecycle (joiner, mover, leaver) from the designated HR or equivalent source.</w:t>
      </w:r>
    </w:p>
    <w:p>
      <w:pPr>
        <w:pStyle w:val="Compact"/>
        <w:numPr>
          <w:ilvl w:val="0"/>
          <w:numId w:val="1003"/>
        </w:numPr>
      </w:pPr>
      <w:r>
        <w:t xml:space="preserve">Non-human identity classes: service accounts, application registrations, and device identities that require an owner and lifecycle.</w:t>
      </w:r>
    </w:p>
    <w:p>
      <w:pPr>
        <w:pStyle w:val="Compact"/>
        <w:numPr>
          <w:ilvl w:val="0"/>
          <w:numId w:val="1003"/>
        </w:numPr>
      </w:pPr>
      <w:r>
        <w:t xml:space="preserve">Attribute-driven dynamic membership and administrative-unit scoping.</w:t>
      </w:r>
    </w:p>
    <w:p>
      <w:pPr>
        <w:pStyle w:val="Compact"/>
        <w:numPr>
          <w:ilvl w:val="0"/>
          <w:numId w:val="1003"/>
        </w:numPr>
      </w:pPr>
      <w:r>
        <w:t xml:space="preserve">Just-in-time privileged access elevation and break-glass procedures.</w:t>
      </w:r>
    </w:p>
    <w:p>
      <w:pPr>
        <w:pStyle w:val="Compact"/>
        <w:numPr>
          <w:ilvl w:val="0"/>
          <w:numId w:val="1003"/>
        </w:numPr>
      </w:pPr>
      <w:r>
        <w:t xml:space="preserve">Access certification / review for privileged and high-blast-radius entitlements.</w:t>
      </w:r>
    </w:p>
    <w:p>
      <w:pPr>
        <w:pStyle w:val="Compact"/>
        <w:numPr>
          <w:ilvl w:val="0"/>
          <w:numId w:val="1003"/>
        </w:numPr>
      </w:pPr>
      <w:r>
        <w:t xml:space="preserve">Provenance and evidence emission for every lifecycle change.</w:t>
      </w:r>
    </w:p>
    <w:p>
      <w:pPr>
        <w:pStyle w:val="Compact"/>
        <w:numPr>
          <w:ilvl w:val="0"/>
          <w:numId w:val="1003"/>
        </w:numPr>
      </w:pPr>
      <w:r>
        <w:t xml:space="preserve">Drift detection between the authoritative source and the directory.</w:t>
      </w:r>
    </w:p>
    <w:bookmarkEnd w:id="12"/>
    <w:bookmarkStart w:id="13" w:name="out-of-scope-initial-phase"/>
    <w:p>
      <w:pPr>
        <w:pStyle w:val="Heading3"/>
      </w:pPr>
      <w:r>
        <w:t xml:space="preserve">Out of Scope (Initial Phase)</w:t>
      </w:r>
    </w:p>
    <w:p>
      <w:pPr>
        <w:pStyle w:val="Compact"/>
        <w:numPr>
          <w:ilvl w:val="0"/>
          <w:numId w:val="1004"/>
        </w:numPr>
      </w:pPr>
      <w:r>
        <w:t xml:space="preserve">Full replacement of the existing directory or identity provider.</w:t>
      </w:r>
    </w:p>
    <w:p>
      <w:pPr>
        <w:pStyle w:val="Compact"/>
        <w:numPr>
          <w:ilvl w:val="0"/>
          <w:numId w:val="1004"/>
        </w:numPr>
      </w:pPr>
      <w:r>
        <w:t xml:space="preserve">Application-level authorization logic inside individual business systems.</w:t>
      </w:r>
    </w:p>
    <w:p>
      <w:pPr>
        <w:pStyle w:val="Compact"/>
        <w:numPr>
          <w:ilvl w:val="0"/>
          <w:numId w:val="1004"/>
        </w:numPr>
      </w:pPr>
      <w:r>
        <w:t xml:space="preserve">Physical access control systems.</w:t>
      </w:r>
    </w:p>
    <w:p>
      <w:pPr>
        <w:pStyle w:val="Compact"/>
        <w:numPr>
          <w:ilvl w:val="0"/>
          <w:numId w:val="1004"/>
        </w:numPr>
      </w:pPr>
      <w:r>
        <w:t xml:space="preserve">Organization-specific HR system configuration (the project defines the contract; the adopting organization owns the source system).</w:t>
      </w:r>
    </w:p>
    <w:bookmarkEnd w:id="13"/>
    <w:bookmarkEnd w:id="14"/>
    <w:bookmarkStart w:id="15" w:name="guiding-principles"/>
    <w:p>
      <w:pPr>
        <w:pStyle w:val="Heading2"/>
      </w:pPr>
      <w:r>
        <w:t xml:space="preserve">5. Guiding Principles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Authoritative origin.</w:t>
      </w:r>
      <w:r>
        <w:t xml:space="preserve"> </w:t>
      </w:r>
      <w:r>
        <w:t xml:space="preserve">The HR system (or designated equivalent) is the source of truth for human organizational placement. The directory is the system of record for identity, not for organizational truth.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Attributes drive access.</w:t>
      </w:r>
      <w:r>
        <w:t xml:space="preserve"> </w:t>
      </w:r>
      <w:r>
        <w:t xml:space="preserve">Dynamic groups and administrative units are populated from organizational attributes. Manual group membership is an exception, not the path.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Least privilege and just-in-time.</w:t>
      </w:r>
      <w:r>
        <w:t xml:space="preserve"> </w:t>
      </w:r>
      <w:r>
        <w:t xml:space="preserve">Elevated rights exist only for the duration and scope of a governed change. Standing administrative privilege is minimized.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closure without proof.</w:t>
      </w:r>
      <w:r>
        <w:t xml:space="preserve"> </w:t>
      </w:r>
      <w:r>
        <w:t xml:space="preserve">Every lifecycle change closes with a provenance record. Human-only “complete” clicks are exception states.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Evidence is a byproduct.</w:t>
      </w:r>
      <w:r>
        <w:t xml:space="preserve"> </w:t>
      </w:r>
      <w:r>
        <w:t xml:space="preserve">Continuous-monitoring evidence is emitted by the change path, not assembled later.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Non-human identities have owners.</w:t>
      </w:r>
      <w:r>
        <w:t xml:space="preserve"> </w:t>
      </w:r>
      <w:r>
        <w:t xml:space="preserve">Every service account, application registration, and device identity resolves to a human owner in the authoritative source.</w:t>
      </w:r>
    </w:p>
    <w:bookmarkEnd w:id="15"/>
    <w:bookmarkStart w:id="16" w:name="success-criteria"/>
    <w:p>
      <w:pPr>
        <w:pStyle w:val="Heading2"/>
      </w:pPr>
      <w:r>
        <w:t xml:space="preserve">6. Success Criteria</w:t>
      </w:r>
    </w:p>
    <w:p>
      <w:pPr>
        <w:pStyle w:val="Compact"/>
        <w:numPr>
          <w:ilvl w:val="0"/>
          <w:numId w:val="1006"/>
        </w:numPr>
      </w:pPr>
      <w:r>
        <w:t xml:space="preserve">An authoritative origin is designated and documented for human identity lifecycle events and for each non-human identity class in scope.</w:t>
      </w:r>
    </w:p>
    <w:p>
      <w:pPr>
        <w:pStyle w:val="Compact"/>
        <w:numPr>
          <w:ilvl w:val="0"/>
          <w:numId w:val="1006"/>
        </w:numPr>
      </w:pPr>
      <w:r>
        <w:t xml:space="preserve">Joiner, mover, and leaver flows are operational for a pilot population and produce provenance records.</w:t>
      </w:r>
    </w:p>
    <w:p>
      <w:pPr>
        <w:pStyle w:val="Compact"/>
        <w:numPr>
          <w:ilvl w:val="0"/>
          <w:numId w:val="1006"/>
        </w:numPr>
      </w:pPr>
      <w:r>
        <w:t xml:space="preserve">Access for the pilot population is driven by attributes; residual manual group membership is inventoried and declining.</w:t>
      </w:r>
    </w:p>
    <w:p>
      <w:pPr>
        <w:pStyle w:val="Compact"/>
        <w:numPr>
          <w:ilvl w:val="0"/>
          <w:numId w:val="1006"/>
        </w:numPr>
      </w:pPr>
      <w:r>
        <w:t xml:space="preserve">Just-in-time elevation is available for at least one privileged role class; standing privilege for that class is reduced.</w:t>
      </w:r>
    </w:p>
    <w:p>
      <w:pPr>
        <w:pStyle w:val="Compact"/>
        <w:numPr>
          <w:ilvl w:val="0"/>
          <w:numId w:val="1006"/>
        </w:numPr>
      </w:pPr>
      <w:r>
        <w:t xml:space="preserve">An access certification cadence is defined and the first review cycle is complete for high-risk entitlements.</w:t>
      </w:r>
    </w:p>
    <w:p>
      <w:pPr>
        <w:pStyle w:val="Compact"/>
        <w:numPr>
          <w:ilvl w:val="0"/>
          <w:numId w:val="1006"/>
        </w:numPr>
      </w:pPr>
      <w:r>
        <w:t xml:space="preserve">Drift between the authoritative source and the directory is detectable and classified.</w:t>
      </w:r>
    </w:p>
    <w:p>
      <w:pPr>
        <w:pStyle w:val="Compact"/>
        <w:numPr>
          <w:ilvl w:val="0"/>
          <w:numId w:val="1006"/>
        </w:numPr>
      </w:pPr>
      <w:r>
        <w:t xml:space="preserve">Leadership can describe the lifecycle path, residual risks, and evidence expectations without reference to internal technical decision records.</w:t>
      </w:r>
    </w:p>
    <w:bookmarkEnd w:id="16"/>
    <w:bookmarkStart w:id="17" w:name="high-level-approach"/>
    <w:p>
      <w:pPr>
        <w:pStyle w:val="Heading2"/>
      </w:pPr>
      <w:r>
        <w:t xml:space="preserve">7. High-Level Approach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Designate origins</w:t>
      </w:r>
      <w:r>
        <w:t xml:space="preserve"> </w:t>
      </w:r>
      <w:r>
        <w:t xml:space="preserve">— Confirm the authoritative source for human lifecycle events and name owners for non-human identity classes.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Normalize attributes</w:t>
      </w:r>
      <w:r>
        <w:t xml:space="preserve"> </w:t>
      </w:r>
      <w:r>
        <w:t xml:space="preserve">— Ensure the organizational attributes that drive access are populated and consistent between the source and the directory.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Pilot joiner/mover/leaver</w:t>
      </w:r>
      <w:r>
        <w:t xml:space="preserve"> </w:t>
      </w:r>
      <w:r>
        <w:t xml:space="preserve">— Implement the five-clause path for a limited population and validate evidence emission.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Extend to privileged access</w:t>
      </w:r>
      <w:r>
        <w:t xml:space="preserve"> </w:t>
      </w:r>
      <w:r>
        <w:t xml:space="preserve">— Introduce just-in-time elevation and begin reducing standing privilege.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Institutionalize review</w:t>
      </w:r>
      <w:r>
        <w:t xml:space="preserve"> </w:t>
      </w:r>
      <w:r>
        <w:t xml:space="preserve">— Stand up access certification and continuous drift detection against the authoritative origin.</w:t>
      </w:r>
    </w:p>
    <w:bookmarkEnd w:id="17"/>
    <w:bookmarkStart w:id="20" w:name="risks-and-assumptions"/>
    <w:p>
      <w:pPr>
        <w:pStyle w:val="Heading2"/>
      </w:pPr>
      <w:r>
        <w:t xml:space="preserve">8. Risks and Assumptions</w:t>
      </w:r>
    </w:p>
    <w:bookmarkStart w:id="18" w:name="key-risks"/>
    <w:p>
      <w:pPr>
        <w:pStyle w:val="Heading3"/>
      </w:pPr>
      <w:r>
        <w:t xml:space="preserve">Key Risks</w:t>
      </w:r>
    </w:p>
    <w:p>
      <w:pPr>
        <w:pStyle w:val="Compact"/>
        <w:numPr>
          <w:ilvl w:val="0"/>
          <w:numId w:val="1008"/>
        </w:numPr>
      </w:pPr>
      <w:r>
        <w:t xml:space="preserve">Incomplete or delayed HR data prevents attribute-driven access from functioning correctly.</w:t>
      </w:r>
    </w:p>
    <w:p>
      <w:pPr>
        <w:pStyle w:val="Compact"/>
        <w:numPr>
          <w:ilvl w:val="0"/>
          <w:numId w:val="1008"/>
        </w:numPr>
      </w:pPr>
      <w:r>
        <w:t xml:space="preserve">Legacy applications require standing service accounts that cannot be moved to managed identity in the initial phase.</w:t>
      </w:r>
    </w:p>
    <w:p>
      <w:pPr>
        <w:pStyle w:val="Compact"/>
        <w:numPr>
          <w:ilvl w:val="0"/>
          <w:numId w:val="1008"/>
        </w:numPr>
      </w:pPr>
      <w:r>
        <w:t xml:space="preserve">Organizational resistance to just-in-time elevation for administrative roles.</w:t>
      </w:r>
    </w:p>
    <w:p>
      <w:pPr>
        <w:pStyle w:val="Compact"/>
        <w:numPr>
          <w:ilvl w:val="0"/>
          <w:numId w:val="1008"/>
        </w:numPr>
      </w:pPr>
      <w:r>
        <w:t xml:space="preserve">Non-human identities lack clear owners, delaying lifecycle controls.</w:t>
      </w:r>
    </w:p>
    <w:bookmarkEnd w:id="18"/>
    <w:bookmarkStart w:id="19" w:name="assumptions"/>
    <w:p>
      <w:pPr>
        <w:pStyle w:val="Heading3"/>
      </w:pPr>
      <w:r>
        <w:t xml:space="preserve">Assumptions</w:t>
      </w:r>
    </w:p>
    <w:p>
      <w:pPr>
        <w:pStyle w:val="Compact"/>
        <w:numPr>
          <w:ilvl w:val="0"/>
          <w:numId w:val="1009"/>
        </w:numPr>
      </w:pPr>
      <w:r>
        <w:t xml:space="preserve">An HR system or equivalent exists and can emit joiner, mover, and leaver events.</w:t>
      </w:r>
    </w:p>
    <w:p>
      <w:pPr>
        <w:pStyle w:val="Compact"/>
        <w:numPr>
          <w:ilvl w:val="0"/>
          <w:numId w:val="1009"/>
        </w:numPr>
      </w:pPr>
      <w:r>
        <w:t xml:space="preserve">The directory supports dynamic groups or equivalent attribute-driven membership.</w:t>
      </w:r>
    </w:p>
    <w:p>
      <w:pPr>
        <w:pStyle w:val="Compact"/>
        <w:numPr>
          <w:ilvl w:val="0"/>
          <w:numId w:val="1009"/>
        </w:numPr>
      </w:pPr>
      <w:r>
        <w:t xml:space="preserve">Stakeholders accept that organizational truth resides in the HR source, not in the directory.</w:t>
      </w:r>
    </w:p>
    <w:bookmarkEnd w:id="19"/>
    <w:bookmarkEnd w:id="20"/>
    <w:bookmarkStart w:id="21" w:name="governance-and-ownership"/>
    <w:p>
      <w:pPr>
        <w:pStyle w:val="Heading2"/>
      </w:pPr>
      <w:r>
        <w:t xml:space="preserve">9. Governance and Ownership</w:t>
      </w:r>
    </w:p>
    <w:p>
      <w:pPr>
        <w:pStyle w:val="Compact"/>
        <w:numPr>
          <w:ilvl w:val="0"/>
          <w:numId w:val="1010"/>
        </w:numPr>
      </w:pPr>
      <w:r>
        <w:t xml:space="preserve">Project sponsor: (to be named)</w:t>
      </w:r>
    </w:p>
    <w:p>
      <w:pPr>
        <w:pStyle w:val="Compact"/>
        <w:numPr>
          <w:ilvl w:val="0"/>
          <w:numId w:val="1010"/>
        </w:numPr>
      </w:pPr>
      <w:r>
        <w:t xml:space="preserve">Project lead: (to be named)</w:t>
      </w:r>
    </w:p>
    <w:p>
      <w:pPr>
        <w:pStyle w:val="Compact"/>
        <w:numPr>
          <w:ilvl w:val="0"/>
          <w:numId w:val="1010"/>
        </w:numPr>
      </w:pPr>
      <w:r>
        <w:t xml:space="preserve">Domain leads: Identity Lifecycle, Privileged Access, Access Certification, Non-Human Identity</w:t>
      </w:r>
    </w:p>
    <w:p>
      <w:pPr>
        <w:pStyle w:val="Compact"/>
        <w:numPr>
          <w:ilvl w:val="0"/>
          <w:numId w:val="1010"/>
        </w:numPr>
      </w:pPr>
      <w:r>
        <w:t xml:space="preserve">Decision rights: Source-of-truth designation and attribute model rest with the project lead and sponsor; domain leads own flow design and evidence readiness.</w:t>
      </w:r>
    </w:p>
    <w:bookmarkEnd w:id="21"/>
    <w:bookmarkStart w:id="22" w:name="next-steps"/>
    <w:p>
      <w:pPr>
        <w:pStyle w:val="Heading2"/>
      </w:pPr>
      <w:r>
        <w:t xml:space="preserve">10. Next Steps</w:t>
      </w:r>
    </w:p>
    <w:p>
      <w:pPr>
        <w:pStyle w:val="Compact"/>
        <w:numPr>
          <w:ilvl w:val="0"/>
          <w:numId w:val="1011"/>
        </w:numPr>
      </w:pPr>
      <w:r>
        <w:t xml:space="preserve">Confirm the authoritative origin for human identity lifecycle events.</w:t>
      </w:r>
    </w:p>
    <w:p>
      <w:pPr>
        <w:pStyle w:val="Compact"/>
        <w:numPr>
          <w:ilvl w:val="0"/>
          <w:numId w:val="1011"/>
        </w:numPr>
      </w:pPr>
      <w:r>
        <w:t xml:space="preserve">Inventory non-human identity classes and name owners.</w:t>
      </w:r>
    </w:p>
    <w:p>
      <w:pPr>
        <w:pStyle w:val="Compact"/>
        <w:numPr>
          <w:ilvl w:val="0"/>
          <w:numId w:val="1011"/>
        </w:numPr>
      </w:pPr>
      <w:r>
        <w:t xml:space="preserve">Define the pilot population and success measures for the first joiner/mover/leaver wave.</w:t>
      </w:r>
    </w:p>
    <w:p>
      <w:pPr>
        <w:pStyle w:val="Compact"/>
        <w:numPr>
          <w:ilvl w:val="0"/>
          <w:numId w:val="1011"/>
        </w:numPr>
      </w:pPr>
      <w:r>
        <w:t xml:space="preserve">Document the attributes that will drive dynamic membership.</w:t>
      </w:r>
    </w:p>
    <w:p>
      <w:pPr>
        <w:pStyle w:val="Compact"/>
        <w:numPr>
          <w:ilvl w:val="0"/>
          <w:numId w:val="1011"/>
        </w:numPr>
      </w:pPr>
      <w:r>
        <w:t xml:space="preserve">Establish the provenance and evidence expectations for every lifecycle change.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charter describes an identity lifecycle and provisioning project. It deliberately omits internal architectural decision records and document identifiers so that it can be used directly as a project planning artifact.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2026-10-19T10:11:30Z</dcterms:created>
  <dcterms:modified xsi:type="dcterms:W3CDTF">2026-10-19T10:11:30Z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