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3" w:name="Xf4890269c6a8498c0e0d2a8d2bdcfa8f9258f20"/>
    <w:p>
      <w:pPr>
        <w:pStyle w:val="Heading1"/>
      </w:pPr>
      <w:r>
        <w:t xml:space="preserve">Network &amp; Access Modernization — Project Charter</w:t>
      </w:r>
    </w:p>
    <w:bookmarkStart w:id="9" w:name="purpose"/>
    <w:p>
      <w:pPr>
        <w:pStyle w:val="Heading2"/>
      </w:pPr>
      <w:r>
        <w:t xml:space="preserve">1. Purpose</w:t>
      </w:r>
    </w:p>
    <w:p>
      <w:pPr>
        <w:pStyle w:val="FirstParagraph"/>
      </w:pPr>
      <w:r>
        <w:t xml:space="preserve">Replace perimeter-and-VPN remote access and static wide-area networking with identity-driven, application-aware access and an authoritative naming and addressing plane that every other control can reconcile to.</w:t>
      </w:r>
    </w:p>
    <w:bookmarkEnd w:id="9"/>
    <w:bookmarkStart w:id="10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Remote access is still largely perimeter-and-VPN. Wide-area networking is static. DNS, DHCP, and IP address management are fragmented or per-cloud. The result is:</w:t>
      </w:r>
    </w:p>
    <w:p>
      <w:pPr>
        <w:pStyle w:val="Compact"/>
        <w:numPr>
          <w:ilvl w:val="0"/>
          <w:numId w:val="1001"/>
        </w:numPr>
      </w:pPr>
      <w:r>
        <w:t xml:space="preserve">Access decisions that do not consume identity as authoritative input.</w:t>
      </w:r>
    </w:p>
    <w:p>
      <w:pPr>
        <w:pStyle w:val="Compact"/>
        <w:numPr>
          <w:ilvl w:val="0"/>
          <w:numId w:val="1001"/>
        </w:numPr>
      </w:pPr>
      <w:r>
        <w:t xml:space="preserve">No single join key for asset identity across management stacks.</w:t>
      </w:r>
    </w:p>
    <w:p>
      <w:pPr>
        <w:pStyle w:val="Compact"/>
        <w:numPr>
          <w:ilvl w:val="0"/>
          <w:numId w:val="1001"/>
        </w:numPr>
      </w:pPr>
      <w:r>
        <w:t xml:space="preserve">Encrypted transport that does not exist, or exists only inside a cloud provider’s boundary.</w:t>
      </w:r>
    </w:p>
    <w:p>
      <w:pPr>
        <w:pStyle w:val="Compact"/>
        <w:numPr>
          <w:ilvl w:val="0"/>
          <w:numId w:val="1001"/>
        </w:numPr>
      </w:pPr>
      <w:r>
        <w:t xml:space="preserve">Customer-edge enforcement that is ungoverned or unaccredited.</w:t>
      </w:r>
    </w:p>
    <w:bookmarkEnd w:id="10"/>
    <w:bookmarkStart w:id="11" w:name="objectives"/>
    <w:p>
      <w:pPr>
        <w:pStyle w:val="Heading2"/>
      </w:pPr>
      <w:r>
        <w:t xml:space="preserve">3. Objectives</w:t>
      </w:r>
    </w:p>
    <w:p>
      <w:pPr>
        <w:pStyle w:val="Compact"/>
        <w:numPr>
          <w:ilvl w:val="0"/>
          <w:numId w:val="1002"/>
        </w:numPr>
      </w:pPr>
      <w:r>
        <w:t xml:space="preserve">Establish an authoritative naming and addressing plane (DNS, DHCP, IPAM) as the asset-identity join key.</w:t>
      </w:r>
    </w:p>
    <w:p>
      <w:pPr>
        <w:pStyle w:val="Compact"/>
        <w:numPr>
          <w:ilvl w:val="0"/>
          <w:numId w:val="1002"/>
        </w:numPr>
      </w:pPr>
      <w:r>
        <w:t xml:space="preserve">Deploy identity-driven access (Zero Trust Network Access or Secure Access Service Edge) that consumes identity claims and does not maintain parallel identity authority.</w:t>
      </w:r>
    </w:p>
    <w:p>
      <w:pPr>
        <w:pStyle w:val="Compact"/>
        <w:numPr>
          <w:ilvl w:val="0"/>
          <w:numId w:val="1002"/>
        </w:numPr>
      </w:pPr>
      <w:r>
        <w:t xml:space="preserve">Implement certificate-anchored overlay where feasible, binding network trust to identity-plane certificates.</w:t>
      </w:r>
    </w:p>
    <w:p>
      <w:pPr>
        <w:pStyle w:val="Compact"/>
        <w:numPr>
          <w:ilvl w:val="0"/>
          <w:numId w:val="1002"/>
        </w:numPr>
      </w:pPr>
      <w:r>
        <w:t xml:space="preserve">Close the customer-owned half of boundary and encryption controls that no cloud provider’s authorization covers.</w:t>
      </w:r>
    </w:p>
    <w:p>
      <w:pPr>
        <w:pStyle w:val="Compact"/>
        <w:numPr>
          <w:ilvl w:val="0"/>
          <w:numId w:val="1002"/>
        </w:numPr>
      </w:pPr>
      <w:r>
        <w:t xml:space="preserve">Emit access and path decisions as canonical claims with provenance.</w:t>
      </w:r>
    </w:p>
    <w:bookmarkEnd w:id="11"/>
    <w:bookmarkStart w:id="14" w:name="scope"/>
    <w:p>
      <w:pPr>
        <w:pStyle w:val="Heading2"/>
      </w:pPr>
      <w:r>
        <w:t xml:space="preserve">4. Scope</w:t>
      </w:r>
    </w:p>
    <w:bookmarkStart w:id="12" w:name="in-scope"/>
    <w:p>
      <w:pPr>
        <w:pStyle w:val="Heading3"/>
      </w:pPr>
      <w:r>
        <w:t xml:space="preserve">In Scope</w:t>
      </w:r>
    </w:p>
    <w:p>
      <w:pPr>
        <w:pStyle w:val="Compact"/>
        <w:numPr>
          <w:ilvl w:val="0"/>
          <w:numId w:val="1003"/>
        </w:numPr>
      </w:pPr>
      <w:r>
        <w:t xml:space="preserve">Authoritative naming and addressing plane (DNS, DHCP, IPAM).</w:t>
      </w:r>
    </w:p>
    <w:p>
      <w:pPr>
        <w:pStyle w:val="Compact"/>
        <w:numPr>
          <w:ilvl w:val="0"/>
          <w:numId w:val="1003"/>
        </w:numPr>
      </w:pPr>
      <w:r>
        <w:t xml:space="preserve">Identity-driven remote access (Zero Trust Network Access / Secure Access Service Edge).</w:t>
      </w:r>
    </w:p>
    <w:p>
      <w:pPr>
        <w:pStyle w:val="Compact"/>
        <w:numPr>
          <w:ilvl w:val="0"/>
          <w:numId w:val="1003"/>
        </w:numPr>
      </w:pPr>
      <w:r>
        <w:t xml:space="preserve">Encrypted, application-aware transport (SD-WAN or equivalent under the applicable boundary model).</w:t>
      </w:r>
    </w:p>
    <w:p>
      <w:pPr>
        <w:pStyle w:val="Compact"/>
        <w:numPr>
          <w:ilvl w:val="0"/>
          <w:numId w:val="1003"/>
        </w:numPr>
      </w:pPr>
      <w:r>
        <w:t xml:space="preserve">Customer-edge enforcement (802.1X, boundary controls) where in scope.</w:t>
      </w:r>
    </w:p>
    <w:p>
      <w:pPr>
        <w:pStyle w:val="Compact"/>
        <w:numPr>
          <w:ilvl w:val="0"/>
          <w:numId w:val="1003"/>
        </w:numPr>
      </w:pPr>
      <w:r>
        <w:t xml:space="preserve">Certificate and token issuance bound to identity-plane objects.</w:t>
      </w:r>
    </w:p>
    <w:p>
      <w:pPr>
        <w:pStyle w:val="Compact"/>
        <w:numPr>
          <w:ilvl w:val="0"/>
          <w:numId w:val="1003"/>
        </w:numPr>
      </w:pPr>
      <w:r>
        <w:t xml:space="preserve">Provenance for access and path decisions.</w:t>
      </w:r>
    </w:p>
    <w:bookmarkEnd w:id="12"/>
    <w:bookmarkStart w:id="13" w:name="out-of-scope-initial-phase"/>
    <w:p>
      <w:pPr>
        <w:pStyle w:val="Heading3"/>
      </w:pPr>
      <w:r>
        <w:t xml:space="preserve">Out of Scope (Initial Phase)</w:t>
      </w:r>
    </w:p>
    <w:p>
      <w:pPr>
        <w:pStyle w:val="Compact"/>
        <w:numPr>
          <w:ilvl w:val="0"/>
          <w:numId w:val="1004"/>
        </w:numPr>
      </w:pPr>
      <w:r>
        <w:t xml:space="preserve">Full replacement of existing wide-area networking contracts.</w:t>
      </w:r>
    </w:p>
    <w:p>
      <w:pPr>
        <w:pStyle w:val="Compact"/>
        <w:numPr>
          <w:ilvl w:val="0"/>
          <w:numId w:val="1004"/>
        </w:numPr>
      </w:pPr>
      <w:r>
        <w:t xml:space="preserve">Application-layer microsegmentation inside every workload.</w:t>
      </w:r>
    </w:p>
    <w:p>
      <w:pPr>
        <w:pStyle w:val="Compact"/>
        <w:numPr>
          <w:ilvl w:val="0"/>
          <w:numId w:val="1004"/>
        </w:numPr>
      </w:pPr>
      <w:r>
        <w:t xml:space="preserve">Non-federal or commercial-only network designs beyond the boundary model already defined.</w:t>
      </w:r>
    </w:p>
    <w:bookmarkEnd w:id="13"/>
    <w:bookmarkEnd w:id="14"/>
    <w:bookmarkStart w:id="15" w:name="guiding-principles"/>
    <w:p>
      <w:pPr>
        <w:pStyle w:val="Heading2"/>
      </w:pPr>
      <w:r>
        <w:t xml:space="preserve">5. Guiding Principles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Identity is the root namespace.</w:t>
      </w:r>
      <w:r>
        <w:t xml:space="preserve"> </w:t>
      </w:r>
      <w:r>
        <w:t xml:space="preserve">Addressing and access derive from identity attributes.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Naming plane is a truth plane.</w:t>
      </w:r>
      <w:r>
        <w:t xml:space="preserve"> </w:t>
      </w:r>
      <w:r>
        <w:t xml:space="preserve">DNS, DHCP, and IPAM are authoritative; other inventories reconcile to them.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Access decisions consume identity.</w:t>
      </w:r>
      <w:r>
        <w:t xml:space="preserve"> </w:t>
      </w:r>
      <w:r>
        <w:t xml:space="preserve">Policy decision points do not maintain parallel identity authority.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Certificate-anchored where feasible.</w:t>
      </w:r>
      <w:r>
        <w:t xml:space="preserve"> </w:t>
      </w:r>
      <w:r>
        <w:t xml:space="preserve">Network overlay binds to identity-plane certificates rather than pre-shared keys or location-based trust.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Customer edge is in scope.</w:t>
      </w:r>
      <w:r>
        <w:t xml:space="preserve"> </w:t>
      </w:r>
      <w:r>
        <w:t xml:space="preserve">The half of boundary and encryption controls that no cloud provider covers must be closed by the organization.</w:t>
      </w:r>
    </w:p>
    <w:bookmarkEnd w:id="15"/>
    <w:bookmarkStart w:id="16" w:name="success-criteria"/>
    <w:p>
      <w:pPr>
        <w:pStyle w:val="Heading2"/>
      </w:pPr>
      <w:r>
        <w:t xml:space="preserve">6. Success Criteria</w:t>
      </w:r>
    </w:p>
    <w:p>
      <w:pPr>
        <w:pStyle w:val="Compact"/>
        <w:numPr>
          <w:ilvl w:val="0"/>
          <w:numId w:val="1006"/>
        </w:numPr>
      </w:pPr>
      <w:r>
        <w:t xml:space="preserve">Authoritative naming and addressing plane designated and operational for the pilot scope.</w:t>
      </w:r>
    </w:p>
    <w:p>
      <w:pPr>
        <w:pStyle w:val="Compact"/>
        <w:numPr>
          <w:ilvl w:val="0"/>
          <w:numId w:val="1006"/>
        </w:numPr>
      </w:pPr>
      <w:r>
        <w:t xml:space="preserve">Identity-driven access path available for a pilot population; VPN or perimeter path is documented as residual.</w:t>
      </w:r>
    </w:p>
    <w:p>
      <w:pPr>
        <w:pStyle w:val="Compact"/>
        <w:numPr>
          <w:ilvl w:val="0"/>
          <w:numId w:val="1006"/>
        </w:numPr>
      </w:pPr>
      <w:r>
        <w:t xml:space="preserve">At least one access or path decision emits a canonical claim with provenance.</w:t>
      </w:r>
    </w:p>
    <w:p>
      <w:pPr>
        <w:pStyle w:val="Compact"/>
        <w:numPr>
          <w:ilvl w:val="0"/>
          <w:numId w:val="1006"/>
        </w:numPr>
      </w:pPr>
      <w:r>
        <w:t xml:space="preserve">Customer-edge enforcement approach documented (802.1X or equivalent) with accreditation path identified.</w:t>
      </w:r>
    </w:p>
    <w:p>
      <w:pPr>
        <w:pStyle w:val="Compact"/>
        <w:numPr>
          <w:ilvl w:val="0"/>
          <w:numId w:val="1006"/>
        </w:numPr>
      </w:pPr>
      <w:r>
        <w:t xml:space="preserve">Boundary disposition declared for every network service in scope.</w:t>
      </w:r>
    </w:p>
    <w:bookmarkEnd w:id="16"/>
    <w:bookmarkStart w:id="17" w:name="high-level-approach"/>
    <w:p>
      <w:pPr>
        <w:pStyle w:val="Heading2"/>
      </w:pPr>
      <w:r>
        <w:t xml:space="preserve">7. High-Level Approach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Name and address</w:t>
      </w:r>
      <w:r>
        <w:t xml:space="preserve"> </w:t>
      </w:r>
      <w:r>
        <w:t xml:space="preserve">— Establish or confirm the authoritative naming and addressing plane.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Identify</w:t>
      </w:r>
      <w:r>
        <w:t xml:space="preserve"> </w:t>
      </w:r>
      <w:r>
        <w:t xml:space="preserve">— Ensure identity claims are available to access decision points.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Access</w:t>
      </w:r>
      <w:r>
        <w:t xml:space="preserve"> </w:t>
      </w:r>
      <w:r>
        <w:t xml:space="preserve">— Deploy identity-driven access for a pilot; retain legacy path under controlled residual risk.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Enforce at the edge</w:t>
      </w:r>
      <w:r>
        <w:t xml:space="preserve"> </w:t>
      </w:r>
      <w:r>
        <w:t xml:space="preserve">— Document and begin customer-edge enforcement where required.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Evidence</w:t>
      </w:r>
      <w:r>
        <w:t xml:space="preserve"> </w:t>
      </w:r>
      <w:r>
        <w:t xml:space="preserve">— Emit access and path decisions as claims.</w:t>
      </w:r>
    </w:p>
    <w:bookmarkEnd w:id="17"/>
    <w:bookmarkStart w:id="20" w:name="risks-and-assumptions"/>
    <w:p>
      <w:pPr>
        <w:pStyle w:val="Heading2"/>
      </w:pPr>
      <w:r>
        <w:t xml:space="preserve">8. Risks and Assumptions</w:t>
      </w:r>
    </w:p>
    <w:bookmarkStart w:id="18" w:name="key-risks"/>
    <w:p>
      <w:pPr>
        <w:pStyle w:val="Heading3"/>
      </w:pPr>
      <w:r>
        <w:t xml:space="preserve">Key Risks</w:t>
      </w:r>
    </w:p>
    <w:p>
      <w:pPr>
        <w:pStyle w:val="Compact"/>
        <w:numPr>
          <w:ilvl w:val="0"/>
          <w:numId w:val="1008"/>
        </w:numPr>
      </w:pPr>
      <w:r>
        <w:t xml:space="preserve">Naming plane fragmentation across clouds prevents a single join key.</w:t>
      </w:r>
    </w:p>
    <w:p>
      <w:pPr>
        <w:pStyle w:val="Compact"/>
        <w:numPr>
          <w:ilvl w:val="0"/>
          <w:numId w:val="1008"/>
        </w:numPr>
      </w:pPr>
      <w:r>
        <w:t xml:space="preserve">Identity claims are not available to network policy decision points.</w:t>
      </w:r>
    </w:p>
    <w:p>
      <w:pPr>
        <w:pStyle w:val="Compact"/>
        <w:numPr>
          <w:ilvl w:val="0"/>
          <w:numId w:val="1008"/>
        </w:numPr>
      </w:pPr>
      <w:r>
        <w:t xml:space="preserve">Certificate issuance is not bound to identity-plane objects.</w:t>
      </w:r>
    </w:p>
    <w:p>
      <w:pPr>
        <w:pStyle w:val="Compact"/>
        <w:numPr>
          <w:ilvl w:val="0"/>
          <w:numId w:val="1008"/>
        </w:numPr>
      </w:pPr>
      <w:r>
        <w:t xml:space="preserve">Vendor maturity varies inside government-cloud boundaries.</w:t>
      </w:r>
    </w:p>
    <w:bookmarkEnd w:id="18"/>
    <w:bookmarkStart w:id="19" w:name="assumptions"/>
    <w:p>
      <w:pPr>
        <w:pStyle w:val="Heading3"/>
      </w:pPr>
      <w:r>
        <w:t xml:space="preserve">Assumptions</w:t>
      </w:r>
    </w:p>
    <w:p>
      <w:pPr>
        <w:pStyle w:val="Compact"/>
        <w:numPr>
          <w:ilvl w:val="0"/>
          <w:numId w:val="1009"/>
        </w:numPr>
      </w:pPr>
      <w:r>
        <w:t xml:space="preserve">An identity provider capable of emitting claims is available.</w:t>
      </w:r>
    </w:p>
    <w:p>
      <w:pPr>
        <w:pStyle w:val="Compact"/>
        <w:numPr>
          <w:ilvl w:val="0"/>
          <w:numId w:val="1009"/>
        </w:numPr>
      </w:pPr>
      <w:r>
        <w:t xml:space="preserve">Stakeholders accept that the naming plane is a truth plane and other inventories are subordinate.</w:t>
      </w:r>
    </w:p>
    <w:bookmarkEnd w:id="19"/>
    <w:bookmarkEnd w:id="20"/>
    <w:bookmarkStart w:id="21" w:name="governance-and-ownership"/>
    <w:p>
      <w:pPr>
        <w:pStyle w:val="Heading2"/>
      </w:pPr>
      <w:r>
        <w:t xml:space="preserve">9. Governance and Ownership</w:t>
      </w:r>
    </w:p>
    <w:p>
      <w:pPr>
        <w:pStyle w:val="Compact"/>
        <w:numPr>
          <w:ilvl w:val="0"/>
          <w:numId w:val="1010"/>
        </w:numPr>
      </w:pPr>
      <w:r>
        <w:t xml:space="preserve">Project sponsor: (to be named)</w:t>
      </w:r>
    </w:p>
    <w:p>
      <w:pPr>
        <w:pStyle w:val="Compact"/>
        <w:numPr>
          <w:ilvl w:val="0"/>
          <w:numId w:val="1010"/>
        </w:numPr>
      </w:pPr>
      <w:r>
        <w:t xml:space="preserve">Project lead: (to be named)</w:t>
      </w:r>
    </w:p>
    <w:p>
      <w:pPr>
        <w:pStyle w:val="Compact"/>
        <w:numPr>
          <w:ilvl w:val="0"/>
          <w:numId w:val="1010"/>
        </w:numPr>
      </w:pPr>
      <w:r>
        <w:t xml:space="preserve">Domain leads: Naming &amp; Addressing, Identity-Driven Access, Customer-Edge Enforcement, Certificates</w:t>
      </w:r>
    </w:p>
    <w:bookmarkEnd w:id="21"/>
    <w:bookmarkStart w:id="22" w:name="next-steps"/>
    <w:p>
      <w:pPr>
        <w:pStyle w:val="Heading2"/>
      </w:pPr>
      <w:r>
        <w:t xml:space="preserve">10. Next Steps</w:t>
      </w:r>
    </w:p>
    <w:p>
      <w:pPr>
        <w:pStyle w:val="Compact"/>
        <w:numPr>
          <w:ilvl w:val="0"/>
          <w:numId w:val="1011"/>
        </w:numPr>
      </w:pPr>
      <w:r>
        <w:t xml:space="preserve">Confirm or designate the authoritative naming and addressing plane.</w:t>
      </w:r>
    </w:p>
    <w:p>
      <w:pPr>
        <w:pStyle w:val="Compact"/>
        <w:numPr>
          <w:ilvl w:val="0"/>
          <w:numId w:val="1011"/>
        </w:numPr>
      </w:pPr>
      <w:r>
        <w:t xml:space="preserve">Inventory current remote-access paths and residual VPN usage.</w:t>
      </w:r>
    </w:p>
    <w:p>
      <w:pPr>
        <w:pStyle w:val="Compact"/>
        <w:numPr>
          <w:ilvl w:val="0"/>
          <w:numId w:val="1011"/>
        </w:numPr>
      </w:pPr>
      <w:r>
        <w:t xml:space="preserve">Identify where identity claims can be consumed by access decision points.</w:t>
      </w:r>
    </w:p>
    <w:p>
      <w:pPr>
        <w:pStyle w:val="Compact"/>
        <w:numPr>
          <w:ilvl w:val="0"/>
          <w:numId w:val="1011"/>
        </w:numPr>
      </w:pPr>
      <w:r>
        <w:t xml:space="preserve">Document boundary disposition for network services in scope.</w:t>
      </w:r>
    </w:p>
    <w:p>
      <w:pPr>
        <w:pStyle w:val="Compact"/>
        <w:numPr>
          <w:ilvl w:val="0"/>
          <w:numId w:val="1011"/>
        </w:numPr>
      </w:pPr>
      <w:r>
        <w:t xml:space="preserve">Define the pilot population and evidence expectations.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This charter describes a network and access modernization project. It deliberately omits internal architectural decision records and document identifiers.</w:t>
      </w:r>
    </w:p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2026-10-19T10:11:30Z</dcterms:created>
  <dcterms:modified xsi:type="dcterms:W3CDTF">2026-10-19T10:11:30Z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