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X18e7a7badf6c1e038818ca6dcac7c1617e20054"/>
    <w:p>
      <w:pPr>
        <w:pStyle w:val="Heading1"/>
      </w:pPr>
      <w:r>
        <w:t xml:space="preserve">Supply Chain &amp; Software Bill of Materials — Project Charter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Establish a governed software supply chain: produce and consume software bills of materials, apply risk-based remediation timelines, and track vendor authorization status so that third-party components do not become ungoverned residual risk.</w:t>
      </w:r>
    </w:p>
    <w:bookmarkEnd w:id="9"/>
    <w:bookmarkStart w:id="10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Software components enter the estate through procurement, open source, and cloud services with uneven visibility. Vulnerability disclosure is manual. Remediation timelines are best-effort. Vendor authorization status is not continuously tracked. The result is:</w:t>
      </w:r>
    </w:p>
    <w:p>
      <w:pPr>
        <w:pStyle w:val="Compact"/>
        <w:numPr>
          <w:ilvl w:val="0"/>
          <w:numId w:val="1001"/>
        </w:numPr>
      </w:pPr>
      <w:r>
        <w:t xml:space="preserve">No reliable inventory of software components and their known vulnerabilities.</w:t>
      </w:r>
    </w:p>
    <w:p>
      <w:pPr>
        <w:pStyle w:val="Compact"/>
        <w:numPr>
          <w:ilvl w:val="0"/>
          <w:numId w:val="1001"/>
        </w:numPr>
      </w:pPr>
      <w:r>
        <w:t xml:space="preserve">Remediation that misses regulatory timelines.</w:t>
      </w:r>
    </w:p>
    <w:p>
      <w:pPr>
        <w:pStyle w:val="Compact"/>
        <w:numPr>
          <w:ilvl w:val="0"/>
          <w:numId w:val="1001"/>
        </w:numPr>
      </w:pPr>
      <w:r>
        <w:t xml:space="preserve">Cloud services adopted without a recorded authorization status.</w:t>
      </w:r>
    </w:p>
    <w:p>
      <w:pPr>
        <w:pStyle w:val="Compact"/>
        <w:numPr>
          <w:ilvl w:val="0"/>
          <w:numId w:val="1001"/>
        </w:numPr>
      </w:pPr>
      <w:r>
        <w:t xml:space="preserve">Supply-chain findings that recur because evidence is assembled after the fact.</w:t>
      </w:r>
    </w:p>
    <w:bookmarkEnd w:id="10"/>
    <w:bookmarkStart w:id="11" w:name="objectives"/>
    <w:p>
      <w:pPr>
        <w:pStyle w:val="Heading2"/>
      </w:pPr>
      <w:r>
        <w:t xml:space="preserve">3. Objectives</w:t>
      </w:r>
    </w:p>
    <w:p>
      <w:pPr>
        <w:pStyle w:val="Compact"/>
        <w:numPr>
          <w:ilvl w:val="0"/>
          <w:numId w:val="1002"/>
        </w:numPr>
      </w:pPr>
      <w:r>
        <w:t xml:space="preserve">Establish a software bill of materials pipeline for in-scope systems and services.</w:t>
      </w:r>
    </w:p>
    <w:p>
      <w:pPr>
        <w:pStyle w:val="Compact"/>
        <w:numPr>
          <w:ilvl w:val="0"/>
          <w:numId w:val="1002"/>
        </w:numPr>
      </w:pPr>
      <w:r>
        <w:t xml:space="preserve">Consume vulnerability disclosures and apply risk-based remediation timelines.</w:t>
      </w:r>
    </w:p>
    <w:p>
      <w:pPr>
        <w:pStyle w:val="Compact"/>
        <w:numPr>
          <w:ilvl w:val="0"/>
          <w:numId w:val="1002"/>
        </w:numPr>
      </w:pPr>
      <w:r>
        <w:t xml:space="preserve">Track vendor and cloud-service authorization status; gate new software-as-a-service on a recorded authorization.</w:t>
      </w:r>
    </w:p>
    <w:p>
      <w:pPr>
        <w:pStyle w:val="Compact"/>
        <w:numPr>
          <w:ilvl w:val="0"/>
          <w:numId w:val="1002"/>
        </w:numPr>
      </w:pPr>
      <w:r>
        <w:t xml:space="preserve">Emit evidence of component inventory, vulnerability status, and remediation closure.</w:t>
      </w:r>
    </w:p>
    <w:p>
      <w:pPr>
        <w:pStyle w:val="Compact"/>
        <w:numPr>
          <w:ilvl w:val="0"/>
          <w:numId w:val="1002"/>
        </w:numPr>
      </w:pPr>
      <w:r>
        <w:t xml:space="preserve">Define ownership for supply-chain risk acceptance.</w:t>
      </w:r>
    </w:p>
    <w:bookmarkEnd w:id="11"/>
    <w:bookmarkStart w:id="14" w:name="scope"/>
    <w:p>
      <w:pPr>
        <w:pStyle w:val="Heading2"/>
      </w:pPr>
      <w:r>
        <w:t xml:space="preserve">4. Scope</w:t>
      </w:r>
    </w:p>
    <w:bookmarkStart w:id="12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3"/>
        </w:numPr>
      </w:pPr>
      <w:r>
        <w:t xml:space="preserve">Software bill of materials production or consumption for pilot systems.</w:t>
      </w:r>
    </w:p>
    <w:p>
      <w:pPr>
        <w:pStyle w:val="Compact"/>
        <w:numPr>
          <w:ilvl w:val="0"/>
          <w:numId w:val="1003"/>
        </w:numPr>
      </w:pPr>
      <w:r>
        <w:t xml:space="preserve">Vulnerability disclosure intake and risk-based remediation tracking.</w:t>
      </w:r>
    </w:p>
    <w:p>
      <w:pPr>
        <w:pStyle w:val="Compact"/>
        <w:numPr>
          <w:ilvl w:val="0"/>
          <w:numId w:val="1003"/>
        </w:numPr>
      </w:pPr>
      <w:r>
        <w:t xml:space="preserve">Vendor and cloud-service authorization status inventory.</w:t>
      </w:r>
    </w:p>
    <w:p>
      <w:pPr>
        <w:pStyle w:val="Compact"/>
        <w:numPr>
          <w:ilvl w:val="0"/>
          <w:numId w:val="1003"/>
        </w:numPr>
      </w:pPr>
      <w:r>
        <w:t xml:space="preserve">Gating of new software-as-a-service on recorded authorization.</w:t>
      </w:r>
    </w:p>
    <w:p>
      <w:pPr>
        <w:pStyle w:val="Compact"/>
        <w:numPr>
          <w:ilvl w:val="0"/>
          <w:numId w:val="1003"/>
        </w:numPr>
      </w:pPr>
      <w:r>
        <w:t xml:space="preserve">Evidence of component inventory and remediation closure.</w:t>
      </w:r>
    </w:p>
    <w:bookmarkEnd w:id="12"/>
    <w:bookmarkStart w:id="13" w:name="out-of-scope-initial-phase"/>
    <w:p>
      <w:pPr>
        <w:pStyle w:val="Heading3"/>
      </w:pPr>
      <w:r>
        <w:t xml:space="preserve">Out of Scope (Initial Phase)</w:t>
      </w:r>
    </w:p>
    <w:p>
      <w:pPr>
        <w:pStyle w:val="Compact"/>
        <w:numPr>
          <w:ilvl w:val="0"/>
          <w:numId w:val="1004"/>
        </w:numPr>
      </w:pPr>
      <w:r>
        <w:t xml:space="preserve">Full software composition analysis for every application.</w:t>
      </w:r>
    </w:p>
    <w:p>
      <w:pPr>
        <w:pStyle w:val="Compact"/>
        <w:numPr>
          <w:ilvl w:val="0"/>
          <w:numId w:val="1004"/>
        </w:numPr>
      </w:pPr>
      <w:r>
        <w:t xml:space="preserve">Hardware bill of materials.</w:t>
      </w:r>
    </w:p>
    <w:p>
      <w:pPr>
        <w:pStyle w:val="Compact"/>
        <w:numPr>
          <w:ilvl w:val="0"/>
          <w:numId w:val="1004"/>
        </w:numPr>
      </w:pPr>
      <w:r>
        <w:t xml:space="preserve">Replacement of existing procurement systems.</w:t>
      </w:r>
    </w:p>
    <w:bookmarkEnd w:id="13"/>
    <w:bookmarkEnd w:id="14"/>
    <w:bookmarkStart w:id="15" w:name="guiding-principles"/>
    <w:p>
      <w:pPr>
        <w:pStyle w:val="Heading2"/>
      </w:pPr>
      <w:r>
        <w:t xml:space="preserve">5. Guiding Principles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Inventory before you remediate.</w:t>
      </w:r>
      <w:r>
        <w:t xml:space="preserve"> </w:t>
      </w:r>
      <w:r>
        <w:t xml:space="preserve">You cannot prioritize what you have not named.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Risk-based timelines.</w:t>
      </w:r>
      <w:r>
        <w:t xml:space="preserve"> </w:t>
      </w:r>
      <w:r>
        <w:t xml:space="preserve">Remediation urgency follows exploitability and exposure, not a single calendar.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Authorization is a gate.</w:t>
      </w:r>
      <w:r>
        <w:t xml:space="preserve"> </w:t>
      </w:r>
      <w:r>
        <w:t xml:space="preserve">New software-as-a-service requires a recorded authorization status before provisioning.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is continuous.</w:t>
      </w:r>
      <w:r>
        <w:t xml:space="preserve"> </w:t>
      </w:r>
      <w:r>
        <w:t xml:space="preserve">Component and vulnerability status emit into the evidence stream.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Ownership is explicit.</w:t>
      </w:r>
      <w:r>
        <w:t xml:space="preserve"> </w:t>
      </w:r>
      <w:r>
        <w:t xml:space="preserve">Supply-chain risk acceptance has a named owner.</w:t>
      </w:r>
    </w:p>
    <w:bookmarkEnd w:id="15"/>
    <w:bookmarkStart w:id="16" w:name="success-criteria"/>
    <w:p>
      <w:pPr>
        <w:pStyle w:val="Heading2"/>
      </w:pPr>
      <w:r>
        <w:t xml:space="preserve">6. Success Criteria</w:t>
      </w:r>
    </w:p>
    <w:p>
      <w:pPr>
        <w:pStyle w:val="Compact"/>
        <w:numPr>
          <w:ilvl w:val="0"/>
          <w:numId w:val="1006"/>
        </w:numPr>
      </w:pPr>
      <w:r>
        <w:t xml:space="preserve">Software bill of materials available for at least one pilot system or service.</w:t>
      </w:r>
    </w:p>
    <w:p>
      <w:pPr>
        <w:pStyle w:val="Compact"/>
        <w:numPr>
          <w:ilvl w:val="0"/>
          <w:numId w:val="1006"/>
        </w:numPr>
      </w:pPr>
      <w:r>
        <w:t xml:space="preserve">Vulnerability disclosure intake operational; at least one risk-based remediation tracked to closure.</w:t>
      </w:r>
    </w:p>
    <w:p>
      <w:pPr>
        <w:pStyle w:val="Compact"/>
        <w:numPr>
          <w:ilvl w:val="0"/>
          <w:numId w:val="1006"/>
        </w:numPr>
      </w:pPr>
      <w:r>
        <w:t xml:space="preserve">Vendor and cloud-service authorization status inventoried for in-scope services.</w:t>
      </w:r>
    </w:p>
    <w:p>
      <w:pPr>
        <w:pStyle w:val="Compact"/>
        <w:numPr>
          <w:ilvl w:val="0"/>
          <w:numId w:val="1006"/>
        </w:numPr>
      </w:pPr>
      <w:r>
        <w:t xml:space="preserve">New software-as-a-service provisioning gated on recorded authorization for the pilot.</w:t>
      </w:r>
    </w:p>
    <w:p>
      <w:pPr>
        <w:pStyle w:val="Compact"/>
        <w:numPr>
          <w:ilvl w:val="0"/>
          <w:numId w:val="1006"/>
        </w:numPr>
      </w:pPr>
      <w:r>
        <w:t xml:space="preserve">Evidence of component inventory and remediation available.</w:t>
      </w:r>
    </w:p>
    <w:p>
      <w:pPr>
        <w:pStyle w:val="Compact"/>
        <w:numPr>
          <w:ilvl w:val="0"/>
          <w:numId w:val="1006"/>
        </w:numPr>
      </w:pPr>
      <w:r>
        <w:t xml:space="preserve">Supply-chain risk acceptance owner named.</w:t>
      </w:r>
    </w:p>
    <w:bookmarkEnd w:id="16"/>
    <w:bookmarkStart w:id="17" w:name="high-level-approach"/>
    <w:p>
      <w:pPr>
        <w:pStyle w:val="Heading2"/>
      </w:pPr>
      <w:r>
        <w:t xml:space="preserve">7. High-Level Approach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Inventory</w:t>
      </w:r>
      <w:r>
        <w:t xml:space="preserve"> </w:t>
      </w:r>
      <w:r>
        <w:t xml:space="preserve">— Produce or consume a software bill of materials for a pilot scope; inventory vendor authorization status.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Intake</w:t>
      </w:r>
      <w:r>
        <w:t xml:space="preserve"> </w:t>
      </w:r>
      <w:r>
        <w:t xml:space="preserve">— Establish vulnerability disclosure intake and risk-based prioritization.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Remediate</w:t>
      </w:r>
      <w:r>
        <w:t xml:space="preserve"> </w:t>
      </w:r>
      <w:r>
        <w:t xml:space="preserve">— Track at least one finding to closure under the defined timeline.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Gate</w:t>
      </w:r>
      <w:r>
        <w:t xml:space="preserve"> </w:t>
      </w:r>
      <w:r>
        <w:t xml:space="preserve">— Require recorded authorization before new software-as-a-service provisioning.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Evidence</w:t>
      </w:r>
      <w:r>
        <w:t xml:space="preserve"> </w:t>
      </w:r>
      <w:r>
        <w:t xml:space="preserve">— Emit component and remediation records.</w:t>
      </w:r>
    </w:p>
    <w:bookmarkEnd w:id="17"/>
    <w:bookmarkStart w:id="20" w:name="risks-and-assumptions"/>
    <w:p>
      <w:pPr>
        <w:pStyle w:val="Heading2"/>
      </w:pPr>
      <w:r>
        <w:t xml:space="preserve">8. Risks and Assumptions</w:t>
      </w:r>
    </w:p>
    <w:bookmarkStart w:id="18" w:name="key-risks"/>
    <w:p>
      <w:pPr>
        <w:pStyle w:val="Heading3"/>
      </w:pPr>
      <w:r>
        <w:t xml:space="preserve">Key Risks</w:t>
      </w:r>
    </w:p>
    <w:p>
      <w:pPr>
        <w:pStyle w:val="Compact"/>
        <w:numPr>
          <w:ilvl w:val="0"/>
          <w:numId w:val="1008"/>
        </w:numPr>
      </w:pPr>
      <w:r>
        <w:t xml:space="preserve">Vendors do not produce software bills of materials in a consumable format.</w:t>
      </w:r>
    </w:p>
    <w:p>
      <w:pPr>
        <w:pStyle w:val="Compact"/>
        <w:numPr>
          <w:ilvl w:val="0"/>
          <w:numId w:val="1008"/>
        </w:numPr>
      </w:pPr>
      <w:r>
        <w:t xml:space="preserve">Remediation timelines conflict with operational constraints.</w:t>
      </w:r>
    </w:p>
    <w:p>
      <w:pPr>
        <w:pStyle w:val="Compact"/>
        <w:numPr>
          <w:ilvl w:val="0"/>
          <w:numId w:val="1008"/>
        </w:numPr>
      </w:pPr>
      <w:r>
        <w:t xml:space="preserve">Authorization status is stale or unavailable for key services.</w:t>
      </w:r>
    </w:p>
    <w:p>
      <w:pPr>
        <w:pStyle w:val="Compact"/>
        <w:numPr>
          <w:ilvl w:val="0"/>
          <w:numId w:val="1008"/>
        </w:numPr>
      </w:pPr>
      <w:r>
        <w:t xml:space="preserve">Ownership for risk acceptance is unclear.</w:t>
      </w:r>
    </w:p>
    <w:bookmarkEnd w:id="18"/>
    <w:bookmarkStart w:id="19" w:name="assumptions"/>
    <w:p>
      <w:pPr>
        <w:pStyle w:val="Heading3"/>
      </w:pPr>
      <w:r>
        <w:t xml:space="preserve">Assumptions</w:t>
      </w:r>
    </w:p>
    <w:p>
      <w:pPr>
        <w:pStyle w:val="Compact"/>
        <w:numPr>
          <w:ilvl w:val="0"/>
          <w:numId w:val="1009"/>
        </w:numPr>
      </w:pPr>
      <w:r>
        <w:t xml:space="preserve">At least one pilot system can produce or consume a software bill of materials.</w:t>
      </w:r>
    </w:p>
    <w:p>
      <w:pPr>
        <w:pStyle w:val="Compact"/>
        <w:numPr>
          <w:ilvl w:val="0"/>
          <w:numId w:val="1009"/>
        </w:numPr>
      </w:pPr>
      <w:r>
        <w:t xml:space="preserve">Stakeholders accept risk-based rather than uniform remediation timelines.</w:t>
      </w:r>
    </w:p>
    <w:bookmarkEnd w:id="19"/>
    <w:bookmarkEnd w:id="20"/>
    <w:bookmarkStart w:id="21" w:name="governance-and-ownership"/>
    <w:p>
      <w:pPr>
        <w:pStyle w:val="Heading2"/>
      </w:pPr>
      <w:r>
        <w:t xml:space="preserve">9. Governance and Ownership</w:t>
      </w:r>
    </w:p>
    <w:p>
      <w:pPr>
        <w:pStyle w:val="Compact"/>
        <w:numPr>
          <w:ilvl w:val="0"/>
          <w:numId w:val="1010"/>
        </w:numPr>
      </w:pPr>
      <w:r>
        <w:t xml:space="preserve">Project sponsor: (to be named)</w:t>
      </w:r>
    </w:p>
    <w:p>
      <w:pPr>
        <w:pStyle w:val="Compact"/>
        <w:numPr>
          <w:ilvl w:val="0"/>
          <w:numId w:val="1010"/>
        </w:numPr>
      </w:pPr>
      <w:r>
        <w:t xml:space="preserve">Project lead: (to be named)</w:t>
      </w:r>
    </w:p>
    <w:p>
      <w:pPr>
        <w:pStyle w:val="Compact"/>
        <w:numPr>
          <w:ilvl w:val="0"/>
          <w:numId w:val="1010"/>
        </w:numPr>
      </w:pPr>
      <w:r>
        <w:t xml:space="preserve">Domain leads: Software Bill of Materials, Vulnerability Remediation, Vendor Authorization, Evidence</w:t>
      </w:r>
    </w:p>
    <w:bookmarkEnd w:id="21"/>
    <w:bookmarkStart w:id="22" w:name="next-steps"/>
    <w:p>
      <w:pPr>
        <w:pStyle w:val="Heading2"/>
      </w:pPr>
      <w:r>
        <w:t xml:space="preserve">10. Next Steps</w:t>
      </w:r>
    </w:p>
    <w:p>
      <w:pPr>
        <w:pStyle w:val="Compact"/>
        <w:numPr>
          <w:ilvl w:val="0"/>
          <w:numId w:val="1011"/>
        </w:numPr>
      </w:pPr>
      <w:r>
        <w:t xml:space="preserve">Identify the pilot system or service for software bill of materials.</w:t>
      </w:r>
    </w:p>
    <w:p>
      <w:pPr>
        <w:pStyle w:val="Compact"/>
        <w:numPr>
          <w:ilvl w:val="0"/>
          <w:numId w:val="1011"/>
        </w:numPr>
      </w:pPr>
      <w:r>
        <w:t xml:space="preserve">Inventory current vendor and cloud-service authorization status.</w:t>
      </w:r>
    </w:p>
    <w:p>
      <w:pPr>
        <w:pStyle w:val="Compact"/>
        <w:numPr>
          <w:ilvl w:val="0"/>
          <w:numId w:val="1011"/>
        </w:numPr>
      </w:pPr>
      <w:r>
        <w:t xml:space="preserve">Define risk-based remediation timelines and ownership.</w:t>
      </w:r>
    </w:p>
    <w:p>
      <w:pPr>
        <w:pStyle w:val="Compact"/>
        <w:numPr>
          <w:ilvl w:val="0"/>
          <w:numId w:val="1011"/>
        </w:numPr>
      </w:pPr>
      <w:r>
        <w:t xml:space="preserve">Establish the gating rule for new software-as-a-service.</w:t>
      </w:r>
    </w:p>
    <w:p>
      <w:pPr>
        <w:pStyle w:val="Compact"/>
        <w:numPr>
          <w:ilvl w:val="0"/>
          <w:numId w:val="1011"/>
        </w:numPr>
      </w:pPr>
      <w:r>
        <w:t xml:space="preserve">Document evidence expectations.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charter describes a supply chain and software bill of materials project. It deliberately omits internal architectural decision records and document identifiers.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2026-10-19T10:11:31Z</dcterms:created>
  <dcterms:modified xsi:type="dcterms:W3CDTF">2026-10-19T10:11:31Z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