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8" w:name="X814a53893a91ac00cfce47948846bf858a9e675"/>
    <w:p>
      <w:pPr>
        <w:pStyle w:val="Heading1"/>
      </w:pPr>
      <w:r>
        <w:t xml:space="preserve">Supply Chain &amp; Software Bill of Materials — Project Plan</w:t>
      </w:r>
    </w:p>
    <w:bookmarkStart w:id="9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Establish visibility and risk-based remediation for software components. Follows: Inventory → Intake → Remediate → Gate → Evidence.</w:t>
      </w:r>
    </w:p>
    <w:bookmarkEnd w:id="9"/>
    <w:bookmarkStart w:id="15" w:name="phases"/>
    <w:p>
      <w:pPr>
        <w:pStyle w:val="Heading2"/>
      </w:pPr>
      <w:r>
        <w:t xml:space="preserve">2. Phases</w:t>
      </w:r>
    </w:p>
    <w:bookmarkStart w:id="10" w:name="phase-0-charter-and-alignment"/>
    <w:p>
      <w:pPr>
        <w:pStyle w:val="Heading3"/>
      </w:pPr>
      <w:r>
        <w:t xml:space="preserve">Phase 0 — Charter and Alignment</w:t>
      </w:r>
    </w:p>
    <w:p>
      <w:pPr>
        <w:pStyle w:val="FirstParagraph"/>
      </w:pPr>
      <w:r>
        <w:t xml:space="preserve">Confirm pilot system, risk-based timelines, and ownership.</w:t>
      </w:r>
    </w:p>
    <w:bookmarkEnd w:id="10"/>
    <w:bookmarkStart w:id="11" w:name="phase-1-inventory"/>
    <w:p>
      <w:pPr>
        <w:pStyle w:val="Heading3"/>
      </w:pPr>
      <w:r>
        <w:t xml:space="preserve">Phase 1 — Inventory</w:t>
      </w:r>
    </w:p>
    <w:p>
      <w:pPr>
        <w:pStyle w:val="FirstParagraph"/>
      </w:pPr>
      <w:r>
        <w:t xml:space="preserve">Produce or consume a software bill of materials for the pilot. Inventory vendor and cloud-service authorization status.</w:t>
      </w:r>
    </w:p>
    <w:bookmarkEnd w:id="11"/>
    <w:bookmarkStart w:id="12" w:name="phase-2-intake"/>
    <w:p>
      <w:pPr>
        <w:pStyle w:val="Heading3"/>
      </w:pPr>
      <w:r>
        <w:t xml:space="preserve">Phase 2 — Intake</w:t>
      </w:r>
    </w:p>
    <w:p>
      <w:pPr>
        <w:pStyle w:val="FirstParagraph"/>
      </w:pPr>
      <w:r>
        <w:t xml:space="preserve">Establish vulnerability disclosure intake and risk-based prioritization.</w:t>
      </w:r>
    </w:p>
    <w:bookmarkEnd w:id="12"/>
    <w:bookmarkStart w:id="13" w:name="phase-3-remediate-and-gate"/>
    <w:p>
      <w:pPr>
        <w:pStyle w:val="Heading3"/>
      </w:pPr>
      <w:r>
        <w:t xml:space="preserve">Phase 3 — Remediate and Gate</w:t>
      </w:r>
    </w:p>
    <w:p>
      <w:pPr>
        <w:pStyle w:val="FirstParagraph"/>
      </w:pPr>
      <w:r>
        <w:t xml:space="preserve">Track at least one finding to closure. Require recorded authorization before new software-as-a-service provisioning.</w:t>
      </w:r>
    </w:p>
    <w:bookmarkEnd w:id="13"/>
    <w:bookmarkStart w:id="14" w:name="phase-4-evidence"/>
    <w:p>
      <w:pPr>
        <w:pStyle w:val="Heading3"/>
      </w:pPr>
      <w:r>
        <w:t xml:space="preserve">Phase 4 — Evidence</w:t>
      </w:r>
    </w:p>
    <w:p>
      <w:pPr>
        <w:pStyle w:val="FirstParagraph"/>
      </w:pPr>
      <w:r>
        <w:t xml:space="preserve">Emit component and remediation records. Name the supply-chain risk acceptance owner.</w:t>
      </w:r>
    </w:p>
    <w:bookmarkEnd w:id="14"/>
    <w:bookmarkEnd w:id="15"/>
    <w:bookmarkStart w:id="16" w:name="success-measures"/>
    <w:p>
      <w:pPr>
        <w:pStyle w:val="Heading2"/>
      </w:pPr>
      <w:r>
        <w:t xml:space="preserve">3. Success Measures</w:t>
      </w:r>
    </w:p>
    <w:p>
      <w:pPr>
        <w:pStyle w:val="Compact"/>
        <w:numPr>
          <w:ilvl w:val="0"/>
          <w:numId w:val="1001"/>
        </w:numPr>
      </w:pPr>
      <w:r>
        <w:t xml:space="preserve">Software bill of materials available for pilot.</w:t>
      </w:r>
    </w:p>
    <w:p>
      <w:pPr>
        <w:pStyle w:val="Compact"/>
        <w:numPr>
          <w:ilvl w:val="0"/>
          <w:numId w:val="1001"/>
        </w:numPr>
      </w:pPr>
      <w:r>
        <w:t xml:space="preserve">One risk-based remediation tracked to closure.</w:t>
      </w:r>
    </w:p>
    <w:p>
      <w:pPr>
        <w:pStyle w:val="Compact"/>
        <w:numPr>
          <w:ilvl w:val="0"/>
          <w:numId w:val="1001"/>
        </w:numPr>
      </w:pPr>
      <w:r>
        <w:t xml:space="preserve">Vendor authorization status inventoried.</w:t>
      </w:r>
    </w:p>
    <w:p>
      <w:pPr>
        <w:pStyle w:val="Compact"/>
        <w:numPr>
          <w:ilvl w:val="0"/>
          <w:numId w:val="1001"/>
        </w:numPr>
      </w:pPr>
      <w:r>
        <w:t xml:space="preserve">New software-as-a-service gated on recorded authorization.</w:t>
      </w:r>
    </w:p>
    <w:p>
      <w:pPr>
        <w:pStyle w:val="Compact"/>
        <w:numPr>
          <w:ilvl w:val="0"/>
          <w:numId w:val="1001"/>
        </w:numPr>
      </w:pPr>
      <w:r>
        <w:t xml:space="preserve">Evidence available.</w:t>
      </w:r>
    </w:p>
    <w:p>
      <w:pPr>
        <w:pStyle w:val="Compact"/>
        <w:numPr>
          <w:ilvl w:val="0"/>
          <w:numId w:val="1001"/>
        </w:numPr>
      </w:pPr>
      <w:r>
        <w:t xml:space="preserve">Risk acceptance owner named.</w:t>
      </w:r>
    </w:p>
    <w:bookmarkEnd w:id="16"/>
    <w:bookmarkStart w:id="17" w:name="immediate-next-actions"/>
    <w:p>
      <w:pPr>
        <w:pStyle w:val="Heading2"/>
      </w:pPr>
      <w:r>
        <w:t xml:space="preserve">4. Immediate Next Actions</w:t>
      </w:r>
    </w:p>
    <w:p>
      <w:pPr>
        <w:pStyle w:val="Compact"/>
        <w:numPr>
          <w:ilvl w:val="0"/>
          <w:numId w:val="1002"/>
        </w:numPr>
      </w:pPr>
      <w:r>
        <w:t xml:space="preserve">Identify the pilot system for software bill of materials.</w:t>
      </w:r>
    </w:p>
    <w:p>
      <w:pPr>
        <w:pStyle w:val="Compact"/>
        <w:numPr>
          <w:ilvl w:val="0"/>
          <w:numId w:val="1002"/>
        </w:numPr>
      </w:pPr>
      <w:r>
        <w:t xml:space="preserve">Inventory vendor authorization status.</w:t>
      </w:r>
    </w:p>
    <w:p>
      <w:pPr>
        <w:pStyle w:val="Compact"/>
        <w:numPr>
          <w:ilvl w:val="0"/>
          <w:numId w:val="1002"/>
        </w:numPr>
      </w:pPr>
      <w:r>
        <w:t xml:space="preserve">Define risk-based timelines and ownership.</w:t>
      </w:r>
    </w:p>
    <w:p>
      <w:pPr>
        <w:pStyle w:val="Compact"/>
        <w:numPr>
          <w:ilvl w:val="0"/>
          <w:numId w:val="1002"/>
        </w:numPr>
      </w:pPr>
      <w:r>
        <w:t xml:space="preserve">Establish the software-as-a-service gating rule.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Project artifact. No internal architectural decision record identifiers.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2026-10-19T10:11:32Z</dcterms:created>
  <dcterms:modified xsi:type="dcterms:W3CDTF">2026-10-19T10:11:32Z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