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Directory Migration Adapters</w:t>
      </w:r>
    </w:p>
    <w:p>
      <w:pPr>
        <w:pStyle w:val="Subtitle"/>
      </w:pPr>
      <w:r>
        <w:t xml:space="preserve">Everything Active Directory Was Holding Together</w:t>
      </w:r>
    </w:p>
    <w:p>
      <w:pPr>
        <w:pStyle w:val="Date"/>
      </w:pPr>
      <w:r>
        <w:t xml:space="preserve">2026-04-19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the-hidden-surface"/>
    <w:p>
      <w:pPr>
        <w:pStyle w:val="Heading2"/>
      </w:pPr>
      <w:r>
        <w:t xml:space="preserve">The Hidden Surface</w:t>
      </w:r>
    </w:p>
    <w:p>
      <w:pPr>
        <w:pStyle w:val="FirstParagraph"/>
      </w:pPr>
      <w:r>
        <w:t xml:space="preserve">When people say</w:t>
      </w:r>
      <w:r>
        <w:t xml:space="preserve"> </w:t>
      </w:r>
      <w:r>
        <w:t xml:space="preserve">“migrate off Active Directory,”</w:t>
      </w:r>
      <w:r>
        <w:t xml:space="preserve"> </w:t>
      </w:r>
      <w:r>
        <w:t xml:space="preserve">they mean move users to Entra ID.</w:t>
      </w:r>
      <w:r>
        <w:t xml:space="preserve"> </w:t>
      </w:r>
      <w:r>
        <w:t xml:space="preserve">But Active Directory was not just an identity store. It was the implicit governance model</w:t>
      </w:r>
      <w:r>
        <w:t xml:space="preserve"> </w:t>
      </w:r>
      <w:r>
        <w:t xml:space="preserve">for every network service in the enterprise: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DNS</w:t>
      </w:r>
      <w:r>
        <w:t xml:space="preserve"> </w:t>
      </w:r>
      <w:r>
        <w:t xml:space="preserve">— AD-integrated DNS zones, SRV records for domain controllers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DHCP</w:t>
      </w:r>
      <w:r>
        <w:t xml:space="preserve"> </w:t>
      </w:r>
      <w:r>
        <w:t xml:space="preserve">— Scope-to-subnet-to-OU mappings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PKI</w:t>
      </w:r>
      <w:r>
        <w:t xml:space="preserve"> </w:t>
      </w:r>
      <w:r>
        <w:t xml:space="preserve">— Active Directory Certificate Services, auto-enrollment via GPO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RADIUS</w:t>
      </w:r>
      <w:r>
        <w:t xml:space="preserve"> </w:t>
      </w:r>
      <w:r>
        <w:t xml:space="preserve">— Network Policy Server authenticating against AD groups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LDAP</w:t>
      </w:r>
      <w:r>
        <w:t xml:space="preserve"> </w:t>
      </w:r>
      <w:r>
        <w:t xml:space="preserve">— Hundreds of applications doing LDAP binds to domain controllers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Device Management</w:t>
      </w:r>
      <w:r>
        <w:t xml:space="preserve"> </w:t>
      </w:r>
      <w:r>
        <w:t xml:space="preserve">— SCCM collections querying AD, GPO-based device policy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Time Services</w:t>
      </w:r>
      <w:r>
        <w:t xml:space="preserve"> </w:t>
      </w:r>
      <w:r>
        <w:t xml:space="preserve">— Every domain-joined machine syncing NTP from the PDC emulator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File Services</w:t>
      </w:r>
      <w:r>
        <w:t xml:space="preserve"> </w:t>
      </w:r>
      <w:r>
        <w:t xml:space="preserve">— DFS namespaces resolving through AD domain names</w:t>
      </w:r>
    </w:p>
    <w:p>
      <w:pPr>
        <w:pStyle w:val="FirstParagraph"/>
      </w:pPr>
      <w:r>
        <w:t xml:space="preserve">Migrating users to Entra ID without migrating these services is not a migration — it is</w:t>
      </w:r>
      <w:r>
        <w:t xml:space="preserve"> </w:t>
      </w:r>
      <w:r>
        <w:t xml:space="preserve">a liability. The Directory Migration canon provides a governed adapter interface for each</w:t>
      </w:r>
      <w:r>
        <w:t xml:space="preserve"> </w:t>
      </w:r>
      <w:r>
        <w:t xml:space="preserve">of these eight service categories.</w:t>
      </w:r>
    </w:p>
    <w:bookmarkEnd w:id="9"/>
    <w:bookmarkStart w:id="10" w:name="adapter-priority-matrix"/>
    <w:p>
      <w:pPr>
        <w:pStyle w:val="Heading2"/>
      </w:pPr>
      <w:r>
        <w:t xml:space="preserve">Adapter Priority Matrix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812"/>
        <w:gridCol w:w="1827"/>
        <w:gridCol w:w="2030"/>
        <w:gridCol w:w="324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Adapter</w:t>
            </w:r>
          </w:p>
        </w:tc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Risk If Ignored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DM_010</w:t>
            </w:r>
          </w:p>
        </w:tc>
        <w:tc>
          <w:tcPr/>
          <w:p>
            <w:pPr>
              <w:pStyle w:val="Compact"/>
            </w:pPr>
            <w:hyperlink w:anchor="ipam">
              <w:r>
                <w:rPr>
                  <w:rStyle w:val="Hyperlink"/>
                </w:rPr>
                <w:t xml:space="preserve">IPAM (DNS/DHCP)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DNS resolution failure, rogue DHCP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DM_020</w:t>
            </w:r>
          </w:p>
        </w:tc>
        <w:tc>
          <w:tcPr/>
          <w:p>
            <w:pPr>
              <w:pStyle w:val="Compact"/>
            </w:pPr>
            <w:hyperlink w:anchor="pki">
              <w:r>
                <w:rPr>
                  <w:rStyle w:val="Hyperlink"/>
                </w:rPr>
                <w:t xml:space="preserve">PKI / Certificate Services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Silent auth failure weeks post-migration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DM_030</w:t>
            </w:r>
          </w:p>
        </w:tc>
        <w:tc>
          <w:tcPr/>
          <w:p>
            <w:pPr>
              <w:pStyle w:val="Compact"/>
            </w:pPr>
            <w:hyperlink w:anchor="radius">
              <w:r>
                <w:rPr>
                  <w:rStyle w:val="Hyperlink"/>
                </w:rPr>
                <w:t xml:space="preserve">RADIUS / 802.1X / VPN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Network access failure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DM_040</w:t>
            </w:r>
          </w:p>
        </w:tc>
        <w:tc>
          <w:tcPr/>
          <w:p>
            <w:pPr>
              <w:pStyle w:val="Compact"/>
            </w:pPr>
            <w:hyperlink w:anchor="ldap">
              <w:r>
                <w:rPr>
                  <w:rStyle w:val="Hyperlink"/>
                </w:rPr>
                <w:t xml:space="preserve">LDAP Proxy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Silent application auth failure — largest hidden surface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DM_050</w:t>
            </w:r>
          </w:p>
        </w:tc>
        <w:tc>
          <w:tcPr/>
          <w:p>
            <w:pPr>
              <w:pStyle w:val="Compact"/>
            </w:pPr>
            <w:hyperlink w:anchor="sync">
              <w:r>
                <w:rPr>
                  <w:rStyle w:val="Hyperlink"/>
                </w:rPr>
                <w:t xml:space="preserve">Sync Engine (Entra Connect)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Permanent AD dependency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DM_060</w:t>
            </w:r>
          </w:p>
        </w:tc>
        <w:tc>
          <w:tcPr/>
          <w:p>
            <w:pPr>
              <w:pStyle w:val="Compact"/>
            </w:pPr>
            <w:hyperlink w:anchor="devices">
              <w:r>
                <w:rPr>
                  <w:rStyle w:val="Hyperlink"/>
                </w:rPr>
                <w:t xml:space="preserve">Device Management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Non-deterministic policy application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DM_070</w:t>
            </w:r>
          </w:p>
        </w:tc>
        <w:tc>
          <w:tcPr/>
          <w:p>
            <w:pPr>
              <w:pStyle w:val="Compact"/>
            </w:pPr>
            <w:hyperlink w:anchor="ntp">
              <w:r>
                <w:rPr>
                  <w:rStyle w:val="Hyperlink"/>
                </w:rPr>
                <w:t xml:space="preserve">NTP / Time Services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Kerberos clock skew failures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DM_080</w:t>
            </w:r>
          </w:p>
        </w:tc>
        <w:tc>
          <w:tcPr/>
          <w:p>
            <w:pPr>
              <w:pStyle w:val="Compact"/>
            </w:pPr>
            <w:hyperlink w:anchor="dfs">
              <w:r>
                <w:rPr>
                  <w:rStyle w:val="Hyperlink"/>
                </w:rPr>
                <w:t xml:space="preserve">DFS / File Services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Silent UNC path failure</w:t>
            </w:r>
          </w:p>
        </w:tc>
      </w:tr>
    </w:tbl>
    <w:p>
      <w:pPr>
        <w:pStyle w:val="BodyText"/>
      </w:pPr>
      <w:r>
        <w:t xml:space="preserve">Three adapters are</w:t>
      </w:r>
      <w:r>
        <w:t xml:space="preserve"> </w:t>
      </w:r>
      <w:r>
        <w:rPr>
          <w:b/>
          <w:bCs/>
        </w:rPr>
        <w:t xml:space="preserve">CRITICAL</w:t>
      </w:r>
      <w:r>
        <w:t xml:space="preserve"> </w:t>
      </w:r>
      <w:r>
        <w:t xml:space="preserve">— they must be addressed before any AD infrastructure</w:t>
      </w:r>
      <w:r>
        <w:t xml:space="preserve"> </w:t>
      </w:r>
      <w:r>
        <w:t xml:space="preserve">can be decommissioned: PKI, RADIUS, and LDAP.</w:t>
      </w:r>
    </w:p>
    <w:p>
      <w:r>
        <w:pict>
          <v:rect style="width:0;height:1.5pt" o:hralign="center" o:hrstd="t" o:hr="t"/>
        </w:pict>
      </w:r>
    </w:p>
    <w:bookmarkEnd w:id="10"/>
    <w:bookmarkStart w:id="11" w:name="ipam"/>
    <w:p>
      <w:pPr>
        <w:pStyle w:val="Heading2"/>
      </w:pPr>
      <w:r>
        <w:t xml:space="preserve">IPAM (DNS / DHCP / IP Management)</w:t>
      </w:r>
    </w:p>
    <w:p>
      <w:pPr>
        <w:pStyle w:val="FirstParagraph"/>
      </w:pPr>
      <w:r>
        <w:rPr>
          <w:b/>
          <w:bCs/>
        </w:rPr>
        <w:t xml:space="preserve">Document:</w:t>
      </w:r>
      <w:r>
        <w:t xml:space="preserve"> </w:t>
      </w:r>
      <w:r>
        <w:t xml:space="preserve">DM_010 |</w:t>
      </w:r>
      <w:r>
        <w:t xml:space="preserve"> </w:t>
      </w:r>
      <w:r>
        <w:rPr>
          <w:b/>
          <w:bCs/>
        </w:rPr>
        <w:t xml:space="preserve">Priority:</w:t>
      </w:r>
      <w:r>
        <w:t xml:space="preserve"> </w:t>
      </w:r>
      <w:r>
        <w:t xml:space="preserve">HIGH</w:t>
      </w:r>
    </w:p>
    <w:p>
      <w:pPr>
        <w:pStyle w:val="BodyText"/>
      </w:pPr>
      <w:r>
        <w:t xml:space="preserve">AD-integrated DNS is the most visible dependency. Every domain-joined machine resolves</w:t>
      </w:r>
      <w:r>
        <w:t xml:space="preserve"> </w:t>
      </w:r>
      <w:r>
        <w:t xml:space="preserve">domain controller locations through SRV records (</w:t>
      </w:r>
      <w:r>
        <w:rPr>
          <w:rStyle w:val="VerbatimChar"/>
        </w:rPr>
        <w:t xml:space="preserve">_kerberos._tcp</w:t>
      </w:r>
      <w:r>
        <w:t xml:space="preserve">,</w:t>
      </w:r>
      <w:r>
        <w:t xml:space="preserve"> </w:t>
      </w:r>
      <w:r>
        <w:rPr>
          <w:rStyle w:val="VerbatimChar"/>
        </w:rPr>
        <w:t xml:space="preserve">_ldap._tcp</w:t>
      </w:r>
      <w:r>
        <w:t xml:space="preserve">,</w:t>
      </w:r>
      <w:r>
        <w:t xml:space="preserve"> </w:t>
      </w:r>
      <w:r>
        <w:rPr>
          <w:rStyle w:val="VerbatimChar"/>
        </w:rPr>
        <w:t xml:space="preserve">_gc._tcp</w:t>
      </w:r>
      <w:r>
        <w:t xml:space="preserve">). AD retirement requires migrating these zones to standalone DNS.</w:t>
      </w:r>
    </w:p>
    <w:p>
      <w:pPr>
        <w:pStyle w:val="BodyText"/>
      </w:pPr>
      <w:r>
        <w:rPr>
          <w:b/>
          <w:bCs/>
        </w:rPr>
        <w:t xml:space="preserve">Required capabilities:</w:t>
      </w:r>
    </w:p>
    <w:p>
      <w:pPr>
        <w:pStyle w:val="Compact"/>
        <w:numPr>
          <w:ilvl w:val="0"/>
          <w:numId w:val="1002"/>
        </w:numPr>
      </w:pPr>
      <w:r>
        <w:t xml:space="preserve">Full zone export as canonical snapshot for drift detection baseline</w:t>
      </w:r>
    </w:p>
    <w:p>
      <w:pPr>
        <w:pStyle w:val="Compact"/>
        <w:numPr>
          <w:ilvl w:val="0"/>
          <w:numId w:val="1002"/>
        </w:numPr>
      </w:pPr>
      <w:r>
        <w:t xml:space="preserve">SRV record migration (</w:t>
      </w:r>
      <w:r>
        <w:rPr>
          <w:rStyle w:val="VerbatimChar"/>
        </w:rPr>
        <w:t xml:space="preserve">_kerberos</w:t>
      </w:r>
      <w:r>
        <w:t xml:space="preserve">,</w:t>
      </w:r>
      <w:r>
        <w:t xml:space="preserve"> </w:t>
      </w:r>
      <w:r>
        <w:rPr>
          <w:rStyle w:val="VerbatimChar"/>
        </w:rPr>
        <w:t xml:space="preserve">_ldap</w:t>
      </w:r>
      <w:r>
        <w:t xml:space="preserve">,</w:t>
      </w:r>
      <w:r>
        <w:t xml:space="preserve"> </w:t>
      </w:r>
      <w:r>
        <w:rPr>
          <w:rStyle w:val="VerbatimChar"/>
        </w:rPr>
        <w:t xml:space="preserve">_gc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t xml:space="preserve">Side-by-side operation with AD-integrated DNS during hybrid window</w:t>
      </w:r>
    </w:p>
    <w:p>
      <w:pPr>
        <w:pStyle w:val="Compact"/>
        <w:numPr>
          <w:ilvl w:val="0"/>
          <w:numId w:val="1002"/>
        </w:numPr>
      </w:pPr>
      <w:r>
        <w:t xml:space="preserve">DHCP scope inventory and rogue DHCP detection</w:t>
      </w:r>
    </w:p>
    <w:p>
      <w:pPr>
        <w:pStyle w:val="FirstParagraph"/>
      </w:pPr>
      <w:r>
        <w:rPr>
          <w:b/>
          <w:bCs/>
        </w:rPr>
        <w:t xml:space="preserve">Registered implementations:</w:t>
      </w:r>
      <w:r>
        <w:t xml:space="preserve"> </w:t>
      </w:r>
      <w:r>
        <w:t xml:space="preserve">InfoBlox NIOS (FedRAMP authorized), BlueCat Address Manager, Generic RFC-compliant IPAM</w:t>
      </w:r>
    </w:p>
    <w:p>
      <w:r>
        <w:pict>
          <v:rect style="width:0;height:1.5pt" o:hralign="center" o:hrstd="t" o:hr="t"/>
        </w:pict>
      </w:r>
    </w:p>
    <w:bookmarkEnd w:id="11"/>
    <w:bookmarkStart w:id="12" w:name="pki"/>
    <w:p>
      <w:pPr>
        <w:pStyle w:val="Heading2"/>
      </w:pPr>
      <w:r>
        <w:t xml:space="preserve">PKI / Certificate Services</w:t>
      </w:r>
    </w:p>
    <w:p>
      <w:pPr>
        <w:pStyle w:val="FirstParagraph"/>
      </w:pPr>
      <w:r>
        <w:rPr>
          <w:b/>
          <w:bCs/>
        </w:rPr>
        <w:t xml:space="preserve">Document:</w:t>
      </w:r>
      <w:r>
        <w:t xml:space="preserve"> </w:t>
      </w:r>
      <w:r>
        <w:t xml:space="preserve">DM_020 |</w:t>
      </w:r>
      <w:r>
        <w:t xml:space="preserve"> </w:t>
      </w:r>
      <w:r>
        <w:rPr>
          <w:b/>
          <w:bCs/>
        </w:rPr>
        <w:t xml:space="preserve">Priority:</w:t>
      </w:r>
      <w:r>
        <w:t xml:space="preserve"> </w:t>
      </w:r>
      <w:r>
        <w:t xml:space="preserve">CRITICAL |</w:t>
      </w:r>
      <w:r>
        <w:t xml:space="preserve"> </w:t>
      </w:r>
      <w:r>
        <w:rPr>
          <w:b/>
          <w:bCs/>
        </w:rPr>
        <w:t xml:space="preserve">Risk:</w:t>
      </w:r>
      <w:r>
        <w:t xml:space="preserve"> </w:t>
      </w:r>
      <w:r>
        <w:t xml:space="preserve">Silent auth failure weeks post-migration</w:t>
      </w:r>
    </w:p>
    <w:p>
      <w:pPr>
        <w:pStyle w:val="BodyText"/>
      </w:pPr>
      <w:r>
        <w:t xml:space="preserve">Active Directory Certificate Services (ADCS) is deeply embedded in federal environments.</w:t>
      </w:r>
      <w:r>
        <w:t xml:space="preserve"> </w:t>
      </w:r>
      <w:r>
        <w:t xml:space="preserve">Smart card / PIV / CAC authentication depends on it. Auto-enrollment policies flow through</w:t>
      </w:r>
      <w:r>
        <w:t xml:space="preserve"> </w:t>
      </w:r>
      <w:r>
        <w:t xml:space="preserve">Group Policy. The entire certificate chain is anchored in AD.</w:t>
      </w:r>
    </w:p>
    <w:p>
      <w:pPr>
        <w:pStyle w:val="BodyText"/>
      </w:pPr>
      <w:r>
        <w:t xml:space="preserve">The failure mode is insidious: certificates work fine until they expire. If the replacement</w:t>
      </w:r>
      <w:r>
        <w:t xml:space="preserve"> </w:t>
      </w:r>
      <w:r>
        <w:t xml:space="preserve">CA is not operational before the first expiry wave, authentication fails silently across</w:t>
      </w:r>
      <w:r>
        <w:t xml:space="preserve"> </w:t>
      </w:r>
      <w:r>
        <w:t xml:space="preserve">the organization — weeks or months after the migration was declared</w:t>
      </w:r>
      <w:r>
        <w:t xml:space="preserve"> </w:t>
      </w:r>
      <w:r>
        <w:t xml:space="preserve">“complete.”</w:t>
      </w:r>
    </w:p>
    <w:p>
      <w:pPr>
        <w:pStyle w:val="BodyText"/>
      </w:pPr>
      <w:r>
        <w:rPr>
          <w:b/>
          <w:bCs/>
        </w:rPr>
        <w:t xml:space="preserve">Required capabilities:</w:t>
      </w:r>
    </w:p>
    <w:p>
      <w:pPr>
        <w:pStyle w:val="Compact"/>
        <w:numPr>
          <w:ilvl w:val="0"/>
          <w:numId w:val="1003"/>
        </w:numPr>
      </w:pPr>
      <w:r>
        <w:t xml:space="preserve">Full certificate inventory (issued, pending, revoked, expired)</w:t>
      </w:r>
    </w:p>
    <w:p>
      <w:pPr>
        <w:pStyle w:val="Compact"/>
        <w:numPr>
          <w:ilvl w:val="0"/>
          <w:numId w:val="1003"/>
        </w:numPr>
      </w:pPr>
      <w:r>
        <w:t xml:space="preserve">Certificate-to-identity binding (who owns each cert)</w:t>
      </w:r>
    </w:p>
    <w:p>
      <w:pPr>
        <w:pStyle w:val="Compact"/>
        <w:numPr>
          <w:ilvl w:val="0"/>
          <w:numId w:val="1003"/>
        </w:numPr>
      </w:pPr>
      <w:r>
        <w:t xml:space="preserve">Expiry timeline export (90/180/365-day windows)</w:t>
      </w:r>
    </w:p>
    <w:p>
      <w:pPr>
        <w:pStyle w:val="Compact"/>
        <w:numPr>
          <w:ilvl w:val="0"/>
          <w:numId w:val="1003"/>
        </w:numPr>
      </w:pPr>
      <w:r>
        <w:t xml:space="preserve">CA hierarchy mapping (root, issuing, subordinate chains)</w:t>
      </w:r>
    </w:p>
    <w:p>
      <w:pPr>
        <w:pStyle w:val="Compact"/>
        <w:numPr>
          <w:ilvl w:val="0"/>
          <w:numId w:val="1003"/>
        </w:numPr>
      </w:pPr>
      <w:r>
        <w:t xml:space="preserve">Smart card / PIV / CAC certificate inventory (federal critical)</w:t>
      </w:r>
    </w:p>
    <w:p>
      <w:pPr>
        <w:pStyle w:val="Compact"/>
        <w:numPr>
          <w:ilvl w:val="0"/>
          <w:numId w:val="1003"/>
        </w:numPr>
      </w:pPr>
      <w:r>
        <w:t xml:space="preserve">Auto-enrollment migration from GPO to Intune/SCEP/EST</w:t>
      </w:r>
    </w:p>
    <w:p>
      <w:pPr>
        <w:pStyle w:val="FirstParagraph"/>
      </w:pPr>
      <w:r>
        <w:rPr>
          <w:b/>
          <w:bCs/>
        </w:rPr>
        <w:t xml:space="preserve">Migration sequence:</w:t>
      </w:r>
    </w:p>
    <w:p>
      <w:pPr>
        <w:pStyle w:val="Compact"/>
        <w:numPr>
          <w:ilvl w:val="0"/>
          <w:numId w:val="1004"/>
        </w:numPr>
      </w:pPr>
      <w:r>
        <w:t xml:space="preserve">Inventory all issued certificates and expiry dates</w:t>
      </w:r>
    </w:p>
    <w:p>
      <w:pPr>
        <w:pStyle w:val="Compact"/>
        <w:numPr>
          <w:ilvl w:val="0"/>
          <w:numId w:val="1004"/>
        </w:numPr>
      </w:pPr>
      <w:r>
        <w:t xml:space="preserve">Map certificates to identity objects</w:t>
      </w:r>
    </w:p>
    <w:p>
      <w:pPr>
        <w:pStyle w:val="Compact"/>
        <w:numPr>
          <w:ilvl w:val="0"/>
          <w:numId w:val="1004"/>
        </w:numPr>
      </w:pPr>
      <w:r>
        <w:t xml:space="preserve">Establish replacement CA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any AD retirement begins</w:t>
      </w:r>
    </w:p>
    <w:p>
      <w:pPr>
        <w:pStyle w:val="Compact"/>
        <w:numPr>
          <w:ilvl w:val="0"/>
          <w:numId w:val="1004"/>
        </w:numPr>
      </w:pPr>
      <w:r>
        <w:t xml:space="preserve">Migrate auto-enrollment to Intune/SCEP/EST</w:t>
      </w:r>
    </w:p>
    <w:p>
      <w:pPr>
        <w:pStyle w:val="Compact"/>
        <w:numPr>
          <w:ilvl w:val="0"/>
          <w:numId w:val="1004"/>
        </w:numPr>
      </w:pPr>
      <w:r>
        <w:t xml:space="preserve">Validate certificate chain through new CA</w:t>
      </w:r>
    </w:p>
    <w:p>
      <w:pPr>
        <w:pStyle w:val="Compact"/>
        <w:numPr>
          <w:ilvl w:val="0"/>
          <w:numId w:val="1004"/>
        </w:numPr>
      </w:pPr>
      <w:r>
        <w:t xml:space="preserve">Retire ADCS only after all renewals confirmed through new CA</w:t>
      </w:r>
    </w:p>
    <w:p>
      <w:pPr>
        <w:pStyle w:val="FirstParagraph"/>
      </w:pPr>
      <w:r>
        <w:rPr>
          <w:b/>
          <w:bCs/>
        </w:rPr>
        <w:t xml:space="preserve">Registered implementations:</w:t>
      </w:r>
      <w:r>
        <w:t xml:space="preserve"> </w:t>
      </w:r>
      <w:r>
        <w:t xml:space="preserve">ADCS (migration source), DigiCert, Entrust, Entra CBA</w:t>
      </w:r>
    </w:p>
    <w:p>
      <w:r>
        <w:pict>
          <v:rect style="width:0;height:1.5pt" o:hralign="center" o:hrstd="t" o:hr="t"/>
        </w:pict>
      </w:r>
    </w:p>
    <w:bookmarkEnd w:id="12"/>
    <w:bookmarkStart w:id="13" w:name="radius"/>
    <w:p>
      <w:pPr>
        <w:pStyle w:val="Heading2"/>
      </w:pPr>
      <w:r>
        <w:t xml:space="preserve">RADIUS / Network Policy Server</w:t>
      </w:r>
    </w:p>
    <w:p>
      <w:pPr>
        <w:pStyle w:val="FirstParagraph"/>
      </w:pPr>
      <w:r>
        <w:rPr>
          <w:b/>
          <w:bCs/>
        </w:rPr>
        <w:t xml:space="preserve">Document:</w:t>
      </w:r>
      <w:r>
        <w:t xml:space="preserve"> </w:t>
      </w:r>
      <w:r>
        <w:t xml:space="preserve">DM_030 |</w:t>
      </w:r>
      <w:r>
        <w:t xml:space="preserve"> </w:t>
      </w:r>
      <w:r>
        <w:rPr>
          <w:b/>
          <w:bCs/>
        </w:rPr>
        <w:t xml:space="preserve">Priority:</w:t>
      </w:r>
      <w:r>
        <w:t xml:space="preserve"> </w:t>
      </w:r>
      <w:r>
        <w:t xml:space="preserve">CRITICAL |</w:t>
      </w:r>
      <w:r>
        <w:t xml:space="preserve"> </w:t>
      </w:r>
      <w:r>
        <w:rPr>
          <w:b/>
          <w:bCs/>
        </w:rPr>
        <w:t xml:space="preserve">Risk:</w:t>
      </w:r>
      <w:r>
        <w:t xml:space="preserve"> </w:t>
      </w:r>
      <w:r>
        <w:t xml:space="preserve">Network access failure pre-migration completion</w:t>
      </w:r>
    </w:p>
    <w:p>
      <w:pPr>
        <w:pStyle w:val="BodyText"/>
      </w:pPr>
      <w:r>
        <w:t xml:space="preserve">Windows Network Policy Server (NPS) authenticates 802.1X wired/wireless, VPN, and</w:t>
      </w:r>
      <w:r>
        <w:t xml:space="preserve"> </w:t>
      </w:r>
      <w:r>
        <w:t xml:space="preserve">dial-up connections against Active Directory groups. Every access point, VPN concentrator,</w:t>
      </w:r>
      <w:r>
        <w:t xml:space="preserve"> </w:t>
      </w:r>
      <w:r>
        <w:t xml:space="preserve">and managed switch that uses RADIUS is an AD dependency.</w:t>
      </w:r>
    </w:p>
    <w:p>
      <w:pPr>
        <w:pStyle w:val="BodyText"/>
      </w:pPr>
      <w:r>
        <w:t xml:space="preserve">If NPS goes down before the replacement RADIUS is validated, users cannot connect to</w:t>
      </w:r>
      <w:r>
        <w:t xml:space="preserve"> </w:t>
      </w:r>
      <w:r>
        <w:t xml:space="preserve">the network. This is not a degraded experience — it is a total access failure.</w:t>
      </w:r>
    </w:p>
    <w:p>
      <w:pPr>
        <w:pStyle w:val="BodyText"/>
      </w:pPr>
      <w:r>
        <w:rPr>
          <w:b/>
          <w:bCs/>
        </w:rPr>
        <w:t xml:space="preserve">Required capabilities:</w:t>
      </w:r>
    </w:p>
    <w:p>
      <w:pPr>
        <w:pStyle w:val="Compact"/>
        <w:numPr>
          <w:ilvl w:val="0"/>
          <w:numId w:val="1005"/>
        </w:numPr>
      </w:pPr>
      <w:r>
        <w:t xml:space="preserve">Inventory all NPS policies (Connection Request, Network, Health)</w:t>
      </w:r>
    </w:p>
    <w:p>
      <w:pPr>
        <w:pStyle w:val="Compact"/>
        <w:numPr>
          <w:ilvl w:val="0"/>
          <w:numId w:val="1005"/>
        </w:numPr>
      </w:pPr>
      <w:r>
        <w:t xml:space="preserve">Map NPS policies to AD group dependencies</w:t>
      </w:r>
    </w:p>
    <w:p>
      <w:pPr>
        <w:pStyle w:val="Compact"/>
        <w:numPr>
          <w:ilvl w:val="0"/>
          <w:numId w:val="1005"/>
        </w:numPr>
      </w:pPr>
      <w:r>
        <w:t xml:space="preserve">Identify all RADIUS clients (APs, VPN concentrators, switches)</w:t>
      </w:r>
    </w:p>
    <w:p>
      <w:pPr>
        <w:pStyle w:val="Compact"/>
        <w:numPr>
          <w:ilvl w:val="0"/>
          <w:numId w:val="1005"/>
        </w:numPr>
      </w:pPr>
      <w:r>
        <w:t xml:space="preserve">802.1X certificate profile and EAP method inventory</w:t>
      </w:r>
    </w:p>
    <w:p>
      <w:pPr>
        <w:pStyle w:val="Compact"/>
        <w:numPr>
          <w:ilvl w:val="0"/>
          <w:numId w:val="1005"/>
        </w:numPr>
      </w:pPr>
      <w:r>
        <w:t xml:space="preserve">Policy translation from AD groups to Entra ID dynamic groups</w:t>
      </w:r>
    </w:p>
    <w:p>
      <w:pPr>
        <w:pStyle w:val="Compact"/>
        <w:numPr>
          <w:ilvl w:val="0"/>
          <w:numId w:val="1005"/>
        </w:numPr>
      </w:pPr>
      <w:r>
        <w:t xml:space="preserve">Side-by-side validation before cutover</w:t>
      </w:r>
    </w:p>
    <w:p>
      <w:pPr>
        <w:pStyle w:val="FirstParagraph"/>
      </w:pPr>
      <w:r>
        <w:rPr>
          <w:b/>
          <w:bCs/>
        </w:rPr>
        <w:t xml:space="preserve">Migration sequence:</w:t>
      </w:r>
    </w:p>
    <w:p>
      <w:pPr>
        <w:pStyle w:val="Compact"/>
        <w:numPr>
          <w:ilvl w:val="0"/>
          <w:numId w:val="1006"/>
        </w:numPr>
      </w:pPr>
      <w:r>
        <w:t xml:space="preserve">Inventory all RADIUS clients and NPS policies</w:t>
      </w:r>
    </w:p>
    <w:p>
      <w:pPr>
        <w:pStyle w:val="Compact"/>
        <w:numPr>
          <w:ilvl w:val="0"/>
          <w:numId w:val="1006"/>
        </w:numPr>
      </w:pPr>
      <w:r>
        <w:t xml:space="preserve">Map all NPS AD group dependencies to Entra ID equivalents</w:t>
      </w:r>
    </w:p>
    <w:p>
      <w:pPr>
        <w:pStyle w:val="Compact"/>
        <w:numPr>
          <w:ilvl w:val="0"/>
          <w:numId w:val="1006"/>
        </w:numPr>
      </w:pPr>
      <w:r>
        <w:t xml:space="preserve">Deploy replacement RADIUS (Cisco ISE / ClearPass / Entra proxy)</w:t>
      </w:r>
    </w:p>
    <w:p>
      <w:pPr>
        <w:pStyle w:val="Compact"/>
        <w:numPr>
          <w:ilvl w:val="0"/>
          <w:numId w:val="1006"/>
        </w:numPr>
      </w:pPr>
      <w:r>
        <w:t xml:space="preserve">Validate in parallel — both NPS and replacement serving simultaneously</w:t>
      </w:r>
    </w:p>
    <w:p>
      <w:pPr>
        <w:pStyle w:val="Compact"/>
        <w:numPr>
          <w:ilvl w:val="0"/>
          <w:numId w:val="1006"/>
        </w:numPr>
      </w:pPr>
      <w:r>
        <w:t xml:space="preserve">Cut over RADIUS clients to new server</w:t>
      </w:r>
    </w:p>
    <w:p>
      <w:pPr>
        <w:pStyle w:val="Compact"/>
        <w:numPr>
          <w:ilvl w:val="0"/>
          <w:numId w:val="1006"/>
        </w:numPr>
      </w:pPr>
      <w:r>
        <w:t xml:space="preserve">Decommission NPS only after 30-day validation window</w:t>
      </w:r>
    </w:p>
    <w:p>
      <w:pPr>
        <w:pStyle w:val="FirstParagraph"/>
      </w:pPr>
      <w:r>
        <w:rPr>
          <w:b/>
          <w:bCs/>
        </w:rPr>
        <w:t xml:space="preserve">Registered implementations:</w:t>
      </w:r>
      <w:r>
        <w:t xml:space="preserve"> </w:t>
      </w:r>
      <w:r>
        <w:t xml:space="preserve">NPS (migration source), Cisco ISE, Aruba ClearPass, Entra RADIUS Proxy</w:t>
      </w:r>
    </w:p>
    <w:p>
      <w:r>
        <w:pict>
          <v:rect style="width:0;height:1.5pt" o:hralign="center" o:hrstd="t" o:hr="t"/>
        </w:pict>
      </w:r>
    </w:p>
    <w:bookmarkEnd w:id="13"/>
    <w:bookmarkStart w:id="14" w:name="ldap"/>
    <w:p>
      <w:pPr>
        <w:pStyle w:val="Heading2"/>
      </w:pPr>
      <w:r>
        <w:t xml:space="preserve">LDAP Proxy</w:t>
      </w:r>
    </w:p>
    <w:p>
      <w:pPr>
        <w:pStyle w:val="FirstParagraph"/>
      </w:pPr>
      <w:r>
        <w:rPr>
          <w:b/>
          <w:bCs/>
        </w:rPr>
        <w:t xml:space="preserve">Document:</w:t>
      </w:r>
      <w:r>
        <w:t xml:space="preserve"> </w:t>
      </w:r>
      <w:r>
        <w:t xml:space="preserve">DM_040 |</w:t>
      </w:r>
      <w:r>
        <w:t xml:space="preserve"> </w:t>
      </w:r>
      <w:r>
        <w:rPr>
          <w:b/>
          <w:bCs/>
        </w:rPr>
        <w:t xml:space="preserve">Priority:</w:t>
      </w:r>
      <w:r>
        <w:t xml:space="preserve"> </w:t>
      </w:r>
      <w:r>
        <w:t xml:space="preserve">CRITICAL |</w:t>
      </w:r>
      <w:r>
        <w:t xml:space="preserve"> </w:t>
      </w:r>
      <w:r>
        <w:rPr>
          <w:b/>
          <w:bCs/>
        </w:rPr>
        <w:t xml:space="preserve">Risk:</w:t>
      </w:r>
      <w:r>
        <w:t xml:space="preserve"> </w:t>
      </w:r>
      <w:r>
        <w:t xml:space="preserve">Silent application auth failure — largest hidden surface</w:t>
      </w:r>
    </w:p>
    <w:p>
      <w:pPr>
        <w:pStyle w:val="BodyText"/>
      </w:pPr>
      <w:r>
        <w:t xml:space="preserve">LDAP is the largest hidden AD dependency. Applications that were deployed 10-15 years ago</w:t>
      </w:r>
      <w:r>
        <w:t xml:space="preserve"> </w:t>
      </w:r>
      <w:r>
        <w:t xml:space="preserve">do LDAP binds to domain controllers for authentication. Nobody maintains an inventory of</w:t>
      </w:r>
      <w:r>
        <w:t xml:space="preserve"> </w:t>
      </w:r>
      <w:r>
        <w:t xml:space="preserve">these applications because nobody had to — AD was always there.</w:t>
      </w:r>
    </w:p>
    <w:p>
      <w:pPr>
        <w:pStyle w:val="BodyText"/>
      </w:pPr>
      <w:r>
        <w:t xml:space="preserve">The discovery phase for LDAP is the longest of any adapter because you cannot migrate</w:t>
      </w:r>
      <w:r>
        <w:t xml:space="preserve"> </w:t>
      </w:r>
      <w:r>
        <w:t xml:space="preserve">what you cannot see, and you cannot see LDAP dependencies without passive traffic analysis.</w:t>
      </w:r>
    </w:p>
    <w:p>
      <w:pPr>
        <w:pStyle w:val="BodyText"/>
      </w:pPr>
      <w:r>
        <w:rPr>
          <w:b/>
          <w:bCs/>
        </w:rPr>
        <w:t xml:space="preserve">Required capabilities:</w:t>
      </w:r>
    </w:p>
    <w:p>
      <w:pPr>
        <w:pStyle w:val="Compact"/>
        <w:numPr>
          <w:ilvl w:val="0"/>
          <w:numId w:val="1007"/>
        </w:numPr>
      </w:pPr>
      <w:r>
        <w:t xml:space="preserve">Network traffic analysis: identify all hosts making LDAP binds to DCs</w:t>
      </w:r>
    </w:p>
    <w:p>
      <w:pPr>
        <w:pStyle w:val="Compact"/>
        <w:numPr>
          <w:ilvl w:val="0"/>
          <w:numId w:val="1007"/>
        </w:numPr>
      </w:pPr>
      <w:r>
        <w:t xml:space="preserve">Service account inventory for LDAP binds</w:t>
      </w:r>
    </w:p>
    <w:p>
      <w:pPr>
        <w:pStyle w:val="Compact"/>
        <w:numPr>
          <w:ilvl w:val="0"/>
          <w:numId w:val="1007"/>
        </w:numPr>
      </w:pPr>
      <w:r>
        <w:t xml:space="preserve">Application-to-LDAP dependency map</w:t>
      </w:r>
    </w:p>
    <w:p>
      <w:pPr>
        <w:pStyle w:val="Compact"/>
        <w:numPr>
          <w:ilvl w:val="0"/>
          <w:numId w:val="1007"/>
        </w:numPr>
      </w:pPr>
      <w:r>
        <w:t xml:space="preserve">Query analysis (what attributes are being read)</w:t>
      </w:r>
    </w:p>
    <w:p>
      <w:pPr>
        <w:pStyle w:val="Compact"/>
        <w:numPr>
          <w:ilvl w:val="0"/>
          <w:numId w:val="1007"/>
        </w:numPr>
      </w:pPr>
      <w:r>
        <w:t xml:space="preserve">Bind type inventory (simple, SASL, certificate-based)</w:t>
      </w:r>
    </w:p>
    <w:p>
      <w:pPr>
        <w:pStyle w:val="Compact"/>
        <w:numPr>
          <w:ilvl w:val="0"/>
          <w:numId w:val="1007"/>
        </w:numPr>
      </w:pPr>
      <w:r>
        <w:t xml:space="preserve">Attribute mapping (AD names to Entra ID equivalents)</w:t>
      </w:r>
    </w:p>
    <w:p>
      <w:pPr>
        <w:pStyle w:val="FirstParagraph"/>
      </w:pPr>
      <w:r>
        <w:rPr>
          <w:b/>
          <w:bCs/>
        </w:rPr>
        <w:t xml:space="preserve">Migration sequence:</w:t>
      </w:r>
    </w:p>
    <w:p>
      <w:pPr>
        <w:pStyle w:val="Compact"/>
        <w:numPr>
          <w:ilvl w:val="0"/>
          <w:numId w:val="1008"/>
        </w:numPr>
      </w:pPr>
      <w:r>
        <w:t xml:space="preserve">Deploy passive LDAP traffic monitor on DC network segment</w:t>
      </w:r>
    </w:p>
    <w:p>
      <w:pPr>
        <w:pStyle w:val="Compact"/>
        <w:numPr>
          <w:ilvl w:val="0"/>
          <w:numId w:val="1008"/>
        </w:numPr>
      </w:pPr>
      <w:r>
        <w:t xml:space="preserve">Run</w:t>
      </w:r>
      <w:r>
        <w:t xml:space="preserve"> </w:t>
      </w:r>
      <w:r>
        <w:rPr>
          <w:b/>
          <w:bCs/>
        </w:rPr>
        <w:t xml:space="preserve">30-day discovery window</w:t>
      </w:r>
      <w:r>
        <w:t xml:space="preserve"> </w:t>
      </w:r>
      <w:r>
        <w:t xml:space="preserve">— capture all LDAP bind sources</w:t>
      </w:r>
    </w:p>
    <w:p>
      <w:pPr>
        <w:pStyle w:val="Compact"/>
        <w:numPr>
          <w:ilvl w:val="0"/>
          <w:numId w:val="1008"/>
        </w:numPr>
      </w:pPr>
      <w:r>
        <w:t xml:space="preserve">Build application-to-LDAP-dependency map</w:t>
      </w:r>
    </w:p>
    <w:p>
      <w:pPr>
        <w:pStyle w:val="Compact"/>
        <w:numPr>
          <w:ilvl w:val="0"/>
          <w:numId w:val="1008"/>
        </w:numPr>
      </w:pPr>
      <w:r>
        <w:t xml:space="preserve">Deploy LDAP proxy (Entra Domain Services or standalone)</w:t>
      </w:r>
    </w:p>
    <w:p>
      <w:pPr>
        <w:pStyle w:val="Compact"/>
        <w:numPr>
          <w:ilvl w:val="0"/>
          <w:numId w:val="1008"/>
        </w:numPr>
      </w:pPr>
      <w:r>
        <w:t xml:space="preserve">Validate each application against proxy</w:t>
      </w:r>
    </w:p>
    <w:p>
      <w:pPr>
        <w:pStyle w:val="Compact"/>
        <w:numPr>
          <w:ilvl w:val="0"/>
          <w:numId w:val="1008"/>
        </w:numPr>
      </w:pPr>
      <w:r>
        <w:t xml:space="preserve">Cut over applications</w:t>
      </w:r>
      <w:r>
        <w:t xml:space="preserve"> </w:t>
      </w:r>
      <w:r>
        <w:rPr>
          <w:b/>
          <w:bCs/>
        </w:rPr>
        <w:t xml:space="preserve">in waves — never all at once</w:t>
      </w:r>
    </w:p>
    <w:p>
      <w:pPr>
        <w:pStyle w:val="FirstParagraph"/>
      </w:pPr>
      <w:r>
        <w:rPr>
          <w:b/>
          <w:bCs/>
        </w:rPr>
        <w:t xml:space="preserve">Registered implementations:</w:t>
      </w:r>
      <w:r>
        <w:t xml:space="preserve"> </w:t>
      </w:r>
      <w:r>
        <w:t xml:space="preserve">Entra Domain Services, Generic LDAP Proxy</w:t>
      </w:r>
    </w:p>
    <w:p>
      <w:r>
        <w:pict>
          <v:rect style="width:0;height:1.5pt" o:hralign="center" o:hrstd="t" o:hr="t"/>
        </w:pict>
      </w:r>
    </w:p>
    <w:bookmarkEnd w:id="14"/>
    <w:bookmarkStart w:id="15" w:name="sync"/>
    <w:p>
      <w:pPr>
        <w:pStyle w:val="Heading2"/>
      </w:pPr>
      <w:r>
        <w:t xml:space="preserve">Sync Engine (Entra Connect)</w:t>
      </w:r>
    </w:p>
    <w:p>
      <w:pPr>
        <w:pStyle w:val="FirstParagraph"/>
      </w:pPr>
      <w:r>
        <w:rPr>
          <w:b/>
          <w:bCs/>
        </w:rPr>
        <w:t xml:space="preserve">Document:</w:t>
      </w:r>
      <w:r>
        <w:t xml:space="preserve"> </w:t>
      </w:r>
      <w:r>
        <w:t xml:space="preserve">DM_050 |</w:t>
      </w:r>
      <w:r>
        <w:t xml:space="preserve"> </w:t>
      </w:r>
      <w:r>
        <w:rPr>
          <w:b/>
          <w:bCs/>
        </w:rPr>
        <w:t xml:space="preserve">Priority:</w:t>
      </w:r>
      <w:r>
        <w:t xml:space="preserve"> </w:t>
      </w:r>
      <w:r>
        <w:t xml:space="preserve">HIGH |</w:t>
      </w:r>
      <w:r>
        <w:t xml:space="preserve"> </w:t>
      </w:r>
      <w:r>
        <w:rPr>
          <w:b/>
          <w:bCs/>
        </w:rPr>
        <w:t xml:space="preserve">Risk:</w:t>
      </w:r>
      <w:r>
        <w:t xml:space="preserve"> </w:t>
      </w:r>
      <w:r>
        <w:t xml:space="preserve">Permanent AD dependency if lifecycle unmanaged</w:t>
      </w:r>
    </w:p>
    <w:p>
      <w:pPr>
        <w:pStyle w:val="BodyText"/>
      </w:pPr>
      <w:r>
        <w:t xml:space="preserve">The sync engine is the bridge between AD and Entra ID — and it is also the tether that</w:t>
      </w:r>
      <w:r>
        <w:t xml:space="preserve"> </w:t>
      </w:r>
      <w:r>
        <w:t xml:space="preserve">keeps AD alive. As long as the sync engine runs, AD is a production dependency. The sync</w:t>
      </w:r>
      <w:r>
        <w:t xml:space="preserve"> </w:t>
      </w:r>
      <w:r>
        <w:t xml:space="preserve">engine is not retired until</w:t>
      </w:r>
      <w:r>
        <w:t xml:space="preserve"> </w:t>
      </w:r>
      <w:r>
        <w:rPr>
          <w:b/>
          <w:bCs/>
        </w:rPr>
        <w:t xml:space="preserve">every other adapter</w:t>
      </w:r>
      <w:r>
        <w:t xml:space="preserve"> </w:t>
      </w:r>
      <w:r>
        <w:t xml:space="preserve">has been migrated.</w:t>
      </w:r>
    </w:p>
    <w:p>
      <w:pPr>
        <w:pStyle w:val="BodyText"/>
      </w:pPr>
      <w:r>
        <w:rPr>
          <w:b/>
          <w:bCs/>
        </w:rPr>
        <w:t xml:space="preserve">Retirement criteria (ALL must be true):</w:t>
      </w:r>
    </w:p>
    <w:p>
      <w:pPr>
        <w:pStyle w:val="Compact"/>
        <w:numPr>
          <w:ilvl w:val="0"/>
          <w:numId w:val="1009"/>
        </w:numPr>
      </w:pPr>
      <w:r>
        <w:t xml:space="preserve">All users provisioned from authoritative HR source (not AD sync)</w:t>
      </w:r>
    </w:p>
    <w:p>
      <w:pPr>
        <w:pStyle w:val="Compact"/>
        <w:numPr>
          <w:ilvl w:val="0"/>
          <w:numId w:val="1009"/>
        </w:numPr>
      </w:pPr>
      <w:r>
        <w:t xml:space="preserve">All groups migrated to dynamic or Entra-managed</w:t>
      </w:r>
    </w:p>
    <w:p>
      <w:pPr>
        <w:pStyle w:val="Compact"/>
        <w:numPr>
          <w:ilvl w:val="0"/>
          <w:numId w:val="1009"/>
        </w:numPr>
      </w:pPr>
      <w:r>
        <w:t xml:space="preserve">All applications off on-prem AD authentication</w:t>
      </w:r>
    </w:p>
    <w:p>
      <w:pPr>
        <w:pStyle w:val="Compact"/>
        <w:numPr>
          <w:ilvl w:val="0"/>
          <w:numId w:val="1009"/>
        </w:numPr>
      </w:pPr>
      <w:r>
        <w:t xml:space="preserve">All devices managed by Intune (no AD dependency)</w:t>
      </w:r>
    </w:p>
    <w:p>
      <w:pPr>
        <w:pStyle w:val="Compact"/>
        <w:numPr>
          <w:ilvl w:val="0"/>
          <w:numId w:val="1009"/>
        </w:numPr>
      </w:pPr>
      <w:r>
        <w:t xml:space="preserve">All service accounts migrated to Entra service principals</w:t>
      </w:r>
    </w:p>
    <w:p>
      <w:pPr>
        <w:pStyle w:val="Compact"/>
        <w:numPr>
          <w:ilvl w:val="0"/>
          <w:numId w:val="1009"/>
        </w:numPr>
      </w:pPr>
      <w:r>
        <w:t xml:space="preserve">ADCS replaced; DNS migrated; RADIUS migrated; LDAP apps validated</w:t>
      </w:r>
    </w:p>
    <w:p>
      <w:r>
        <w:pict>
          <v:rect style="width:0;height:1.5pt" o:hralign="center" o:hrstd="t" o:hr="t"/>
        </w:pict>
      </w:r>
    </w:p>
    <w:bookmarkEnd w:id="15"/>
    <w:bookmarkStart w:id="16" w:name="devices"/>
    <w:p>
      <w:pPr>
        <w:pStyle w:val="Heading2"/>
      </w:pPr>
      <w:r>
        <w:t xml:space="preserve">Device Management</w:t>
      </w:r>
    </w:p>
    <w:p>
      <w:pPr>
        <w:pStyle w:val="FirstParagraph"/>
      </w:pPr>
      <w:r>
        <w:rPr>
          <w:b/>
          <w:bCs/>
        </w:rPr>
        <w:t xml:space="preserve">Document:</w:t>
      </w:r>
      <w:r>
        <w:t xml:space="preserve"> </w:t>
      </w:r>
      <w:r>
        <w:t xml:space="preserve">DM_060 |</w:t>
      </w:r>
      <w:r>
        <w:t xml:space="preserve"> </w:t>
      </w:r>
      <w:r>
        <w:rPr>
          <w:b/>
          <w:bCs/>
        </w:rPr>
        <w:t xml:space="preserve">Priority:</w:t>
      </w:r>
      <w:r>
        <w:t xml:space="preserve"> </w:t>
      </w:r>
      <w:r>
        <w:t xml:space="preserve">HIGH</w:t>
      </w:r>
    </w:p>
    <w:p>
      <w:pPr>
        <w:pStyle w:val="BodyText"/>
      </w:pPr>
      <w:r>
        <w:t xml:space="preserve">SCCM collections query AD. Group Policy Objects flow through the OU tree. Co-management</w:t>
      </w:r>
      <w:r>
        <w:t xml:space="preserve"> </w:t>
      </w:r>
      <w:r>
        <w:t xml:space="preserve">workloads split responsibility between SCCM and Intune. The device adapter governs the</w:t>
      </w:r>
      <w:r>
        <w:t xml:space="preserve"> </w:t>
      </w:r>
      <w:r>
        <w:t xml:space="preserve">transition from AD-dependent device policy to Intune-native management.</w:t>
      </w:r>
    </w:p>
    <w:p>
      <w:pPr>
        <w:pStyle w:val="BodyText"/>
      </w:pPr>
      <w:r>
        <w:rPr>
          <w:b/>
          <w:bCs/>
        </w:rPr>
        <w:t xml:space="preserve">Key capability:</w:t>
      </w:r>
      <w:r>
        <w:t xml:space="preserve"> </w:t>
      </w:r>
      <w:r>
        <w:t xml:space="preserve">Run Group Policy Analytics to identify GPO settings without Intune equivalents before migrating any workload.</w:t>
      </w:r>
    </w:p>
    <w:p>
      <w:r>
        <w:pict>
          <v:rect style="width:0;height:1.5pt" o:hralign="center" o:hrstd="t" o:hr="t"/>
        </w:pict>
      </w:r>
    </w:p>
    <w:bookmarkEnd w:id="16"/>
    <w:bookmarkStart w:id="17" w:name="ntp"/>
    <w:p>
      <w:pPr>
        <w:pStyle w:val="Heading2"/>
      </w:pPr>
      <w:r>
        <w:t xml:space="preserve">NTP / Time Services</w:t>
      </w:r>
    </w:p>
    <w:p>
      <w:pPr>
        <w:pStyle w:val="FirstParagraph"/>
      </w:pPr>
      <w:r>
        <w:rPr>
          <w:b/>
          <w:bCs/>
        </w:rPr>
        <w:t xml:space="preserve">Document:</w:t>
      </w:r>
      <w:r>
        <w:t xml:space="preserve"> </w:t>
      </w:r>
      <w:r>
        <w:t xml:space="preserve">DM_070 |</w:t>
      </w:r>
      <w:r>
        <w:t xml:space="preserve"> </w:t>
      </w:r>
      <w:r>
        <w:rPr>
          <w:b/>
          <w:bCs/>
        </w:rPr>
        <w:t xml:space="preserve">Priority:</w:t>
      </w:r>
      <w:r>
        <w:t xml:space="preserve"> </w:t>
      </w:r>
      <w:r>
        <w:t xml:space="preserve">MEDIUM</w:t>
      </w:r>
    </w:p>
    <w:p>
      <w:pPr>
        <w:pStyle w:val="BodyText"/>
      </w:pPr>
      <w:r>
        <w:t xml:space="preserve">Every domain-joined machine syncs time from the PDC emulator. Kerberos allows a maximum</w:t>
      </w:r>
      <w:r>
        <w:t xml:space="preserve"> </w:t>
      </w:r>
      <w:r>
        <w:t xml:space="preserve">5-minute clock skew. If domain controllers are decommissioned without redirecting NTP,</w:t>
      </w:r>
      <w:r>
        <w:t xml:space="preserve"> </w:t>
      </w:r>
      <w:r>
        <w:t xml:space="preserve">Kerberos authentication fails across the environment.</w:t>
      </w:r>
    </w:p>
    <w:p>
      <w:pPr>
        <w:pStyle w:val="BodyText"/>
      </w:pPr>
      <w:r>
        <w:rPr>
          <w:b/>
          <w:bCs/>
        </w:rPr>
        <w:t xml:space="preserve">Fix:</w:t>
      </w:r>
      <w:r>
        <w:t xml:space="preserve"> </w:t>
      </w:r>
      <w:r>
        <w:t xml:space="preserve">Deploy Intune policy redirecting</w:t>
      </w:r>
      <w:r>
        <w:t xml:space="preserve"> </w:t>
      </w:r>
      <w:r>
        <w:rPr>
          <w:rStyle w:val="VerbatimChar"/>
        </w:rPr>
        <w:t xml:space="preserve">w32tm</w:t>
      </w:r>
      <w:r>
        <w:t xml:space="preserve"> </w:t>
      </w:r>
      <w:r>
        <w:t xml:space="preserve">to external NTP sources (</w:t>
      </w:r>
      <w:r>
        <w:rPr>
          <w:rStyle w:val="VerbatimChar"/>
        </w:rPr>
        <w:t xml:space="preserve">time.windows.com</w:t>
      </w:r>
      <w:r>
        <w:t xml:space="preserve">)</w:t>
      </w:r>
      <w:r>
        <w:t xml:space="preserve"> </w:t>
      </w:r>
      <w:r>
        <w:t xml:space="preserve">before any DC decommission.</w:t>
      </w:r>
    </w:p>
    <w:p>
      <w:r>
        <w:pict>
          <v:rect style="width:0;height:1.5pt" o:hralign="center" o:hrstd="t" o:hr="t"/>
        </w:pict>
      </w:r>
    </w:p>
    <w:bookmarkEnd w:id="17"/>
    <w:bookmarkStart w:id="18" w:name="dfs"/>
    <w:p>
      <w:pPr>
        <w:pStyle w:val="Heading2"/>
      </w:pPr>
      <w:r>
        <w:t xml:space="preserve">DFS / File Services</w:t>
      </w:r>
    </w:p>
    <w:p>
      <w:pPr>
        <w:pStyle w:val="FirstParagraph"/>
      </w:pPr>
      <w:r>
        <w:rPr>
          <w:b/>
          <w:bCs/>
        </w:rPr>
        <w:t xml:space="preserve">Document:</w:t>
      </w:r>
      <w:r>
        <w:t xml:space="preserve"> </w:t>
      </w:r>
      <w:r>
        <w:t xml:space="preserve">DM_080 |</w:t>
      </w:r>
      <w:r>
        <w:t xml:space="preserve"> </w:t>
      </w:r>
      <w:r>
        <w:rPr>
          <w:b/>
          <w:bCs/>
        </w:rPr>
        <w:t xml:space="preserve">Priority:</w:t>
      </w:r>
      <w:r>
        <w:t xml:space="preserve"> </w:t>
      </w:r>
      <w:r>
        <w:t xml:space="preserve">MEDIUM</w:t>
      </w:r>
    </w:p>
    <w:p>
      <w:pPr>
        <w:pStyle w:val="BodyText"/>
      </w:pPr>
      <w:r>
        <w:t xml:space="preserve">DFS namespaces resolve through AD domain names. Domain-based DFS namespaces</w:t>
      </w:r>
      <w:r>
        <w:t xml:space="preserve"> </w:t>
      </w:r>
      <w:r>
        <w:t xml:space="preserve">(</w:t>
      </w:r>
      <w:r>
        <w:rPr>
          <w:rStyle w:val="VerbatimChar"/>
        </w:rPr>
        <w:t xml:space="preserve">\\domain\share</w:t>
      </w:r>
      <w:r>
        <w:t xml:space="preserve">) fail silently when the domain is retired. Migration targets:</w:t>
      </w:r>
      <w:r>
        <w:t xml:space="preserve"> </w:t>
      </w:r>
      <w:r>
        <w:t xml:space="preserve">SharePoint Online, Azure Files, or standalone DFS with non-AD names.</w:t>
      </w:r>
    </w:p>
    <w:p>
      <w:r>
        <w:pict>
          <v:rect style="width:0;height:1.5pt" o:hralign="center" o:hrstd="t" o:hr="t"/>
        </w:pict>
      </w:r>
    </w:p>
    <w:bookmarkEnd w:id="18"/>
    <w:bookmarkStart w:id="22" w:name="post-migration-validation"/>
    <w:p>
      <w:pPr>
        <w:pStyle w:val="Heading2"/>
      </w:pPr>
      <w:r>
        <w:t xml:space="preserve">Post-Migration Validation</w:t>
      </w:r>
    </w:p>
    <w:p>
      <w:pPr>
        <w:pStyle w:val="FirstParagraph"/>
      </w:pPr>
      <w:r>
        <w:t xml:space="preserve">After all adapters are migrated, the [Validation Checklist (DM_090)]</w:t>
      </w:r>
      <w:r>
        <w:t xml:space="preserve"> </w:t>
      </w:r>
      <w:r>
        <w:t xml:space="preserve">provides a comprehensive pass/fail gate for each service category before AD infrastructure</w:t>
      </w:r>
      <w:r>
        <w:t xml:space="preserve"> </w:t>
      </w:r>
      <w:r>
        <w:t xml:space="preserve">decommission is authorized.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Full adapter interface specifications with vendor manifests:</w:t>
            </w:r>
            <w:r>
              <w:t xml:space="preserve"> </w:t>
            </w:r>
            <w:r>
              <w:rPr>
                <w:rStyle w:val="VerbatimChar"/>
              </w:rPr>
              <w:t xml:space="preserve">src/fmp/modernization/directory-migration/adapters/</w:t>
            </w:r>
          </w:p>
          <w:p/>
        </w:tc>
      </w:tr>
    </w:tbl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Directory Migration Adapters</dc:title>
  <dc:creator/>
  <cp:keywords/>
  <dcterms:created xsi:type="dcterms:W3CDTF">2026-10-19T10:11:32Z</dcterms:created>
  <dcterms:modified xsi:type="dcterms:W3CDTF">2026-10-19T10:11:32Z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iases">
    <vt:lpwstr/>
  </property>
  <property fmtid="{D5CDD505-2E9C-101B-9397-08002B2CF9AE}" pid="3" name="biblio-config">
    <vt:lpwstr>True</vt:lpwstr>
  </property>
  <property fmtid="{D5CDD505-2E9C-101B-9397-08002B2CF9AE}" pid="4" name="date">
    <vt:lpwstr>2026-04-19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lifecycle">
    <vt:lpwstr>aspirational</vt:lpwstr>
  </property>
  <property fmtid="{D5CDD505-2E9C-101B-9397-08002B2CF9AE}" pid="10" name="lifecycle_review">
    <vt:lpwstr>2026-11-22</vt:lpwstr>
  </property>
  <property fmtid="{D5CDD505-2E9C-101B-9397-08002B2CF9AE}" pid="11" name="subtitle">
    <vt:lpwstr>Everything Active Directory Was Holding Together</vt:lpwstr>
  </property>
  <property fmtid="{D5CDD505-2E9C-101B-9397-08002B2CF9AE}" pid="12" name="toc-title">
    <vt:lpwstr>Table of contents</vt:lpwstr>
  </property>
</Properties>
</file>