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Directory Migration — AD Infrastructure Bridge</w:t>
      </w:r>
    </w:p>
    <w:p>
      <w:pPr>
        <w:pStyle w:val="Subtitle"/>
      </w:pPr>
      <w:r>
        <w:t xml:space="preserve">Everything Active Directory Was Holding Together</w:t>
      </w:r>
    </w:p>
    <w:p>
      <w:pPr>
        <w:pStyle w:val="Date"/>
      </w:pPr>
      <w:r>
        <w:t xml:space="preserve">2026-04-19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Directory migration is the flagship journey of</w:t>
      </w:r>
      <w:r>
        <w:t xml:space="preserve"> </w:t>
      </w:r>
      <w:r>
        <w:rPr>
          <w:b/>
          <w:bCs/>
        </w:rPr>
        <w:t xml:space="preserve">OrgMod (Organizational</w:t>
      </w:r>
      <w:r>
        <w:rPr>
          <w:b/>
          <w:bCs/>
        </w:rPr>
        <w:t xml:space="preserve"> </w:t>
      </w:r>
      <w:r>
        <w:rPr>
          <w:b/>
          <w:bCs/>
        </w:rPr>
        <w:t xml:space="preserve">Modernization)</w:t>
      </w:r>
      <w:r>
        <w:t xml:space="preserve">. Like its sibling, Federal Compliance, OrgMod is</w:t>
      </w:r>
      <w:r>
        <w:t xml:space="preserve"> </w:t>
      </w:r>
      <w:r>
        <w:t xml:space="preserve">designed to be adopted together with it or entirely on its own.</w:t>
      </w:r>
    </w:p>
    <w:bookmarkStart w:id="9" w:name="the-hidden-migration-surface"/>
    <w:p>
      <w:pPr>
        <w:pStyle w:val="Heading2"/>
      </w:pPr>
      <w:r>
        <w:t xml:space="preserve">The Hidden Migration Surface</w:t>
      </w:r>
    </w:p>
    <w:p>
      <w:pPr>
        <w:pStyle w:val="FirstParagraph"/>
      </w:pPr>
      <w:r>
        <w:t xml:space="preserve">When organizations plan their</w:t>
      </w:r>
      <w:r>
        <w:t xml:space="preserve"> </w:t>
      </w:r>
      <w:r>
        <w:t xml:space="preserve">“AD to Entra ID migration,”</w:t>
      </w:r>
      <w:r>
        <w:t xml:space="preserve"> </w:t>
      </w:r>
      <w:r>
        <w:t xml:space="preserve">they think about users and groups.</w:t>
      </w:r>
      <w:r>
        <w:t xml:space="preserve"> </w:t>
      </w:r>
      <w:r>
        <w:t xml:space="preserve">They forget about everything else Active Directory was silently holding together.</w:t>
      </w:r>
    </w:p>
    <w:p>
      <w:pPr>
        <w:pStyle w:val="BodyText"/>
      </w:pPr>
      <w:r>
        <w:t xml:space="preserve">Active Directory was the implicit governance model for eleven categories of infrastructure</w:t>
      </w:r>
      <w:r>
        <w:t xml:space="preserve"> </w:t>
      </w:r>
      <w:r>
        <w:t xml:space="preserve">objects. When AD goes away, every one of these services loses its governance anchor — and</w:t>
      </w:r>
      <w:r>
        <w:t xml:space="preserve"> </w:t>
      </w:r>
      <w:r>
        <w:t xml:space="preserve">most of them fail silently. No errors. No alerts. Just certificates that stop renewing,</w:t>
      </w:r>
      <w:r>
        <w:t xml:space="preserve"> </w:t>
      </w:r>
      <w:r>
        <w:t xml:space="preserve">RADIUS authentications that stop working, DNS records that go stale, and LDAP-dependent</w:t>
      </w:r>
      <w:r>
        <w:t xml:space="preserve"> </w:t>
      </w:r>
      <w:r>
        <w:t xml:space="preserve">applications that quietly break.</w:t>
      </w:r>
    </w:p>
    <w:bookmarkEnd w:id="9"/>
    <w:bookmarkStart w:id="10" w:name="the-eleven-ad-dependency-object-types"/>
    <w:p>
      <w:pPr>
        <w:pStyle w:val="Heading2"/>
      </w:pPr>
      <w:r>
        <w:t xml:space="preserve">The Eleven AD Dependency Object Types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5"/>
        <w:gridCol w:w="1462"/>
        <w:gridCol w:w="2315"/>
        <w:gridCol w:w="37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Object Type</w:t>
            </w:r>
          </w:p>
        </w:tc>
        <w:tc>
          <w:tcPr/>
          <w:p>
            <w:pPr>
              <w:pStyle w:val="Compact"/>
            </w:pPr>
            <w:r>
              <w:t xml:space="preserve">What AD Was Doing</w:t>
            </w:r>
          </w:p>
        </w:tc>
        <w:tc>
          <w:tcPr/>
          <w:p>
            <w:pPr>
              <w:pStyle w:val="Compact"/>
            </w:pPr>
            <w:r>
              <w:t xml:space="preserve">What Breaks Without Governance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Identity lifecycle, OU placement, attribute authority</w:t>
            </w:r>
          </w:p>
        </w:tc>
        <w:tc>
          <w:tcPr/>
          <w:p>
            <w:pPr>
              <w:pStyle w:val="Compact"/>
            </w:pPr>
            <w:r>
              <w:t xml:space="preserve">Orphaned accounts, privilege drift, compliance gaps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Computers</w:t>
            </w:r>
          </w:p>
        </w:tc>
        <w:tc>
          <w:tcPr/>
          <w:p>
            <w:pPr>
              <w:pStyle w:val="Compact"/>
            </w:pPr>
            <w:r>
              <w:t xml:space="preserve">Domain join, GPO targeting, machine certificates</w:t>
            </w:r>
          </w:p>
        </w:tc>
        <w:tc>
          <w:tcPr/>
          <w:p>
            <w:pPr>
              <w:pStyle w:val="Compact"/>
            </w:pPr>
            <w:r>
              <w:t xml:space="preserve">Unmanaged endpoints, missing patches, security exposure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Service Accounts</w:t>
            </w:r>
          </w:p>
        </w:tc>
        <w:tc>
          <w:tcPr/>
          <w:p>
            <w:pPr>
              <w:pStyle w:val="Compact"/>
            </w:pPr>
            <w:r>
              <w:t xml:space="preserve">SPNs, Kerberos delegation, password management</w:t>
            </w:r>
          </w:p>
        </w:tc>
        <w:tc>
          <w:tcPr/>
          <w:p>
            <w:pPr>
              <w:pStyle w:val="Compact"/>
            </w:pPr>
            <w:r>
              <w:t xml:space="preserve">Application authentication failures, silent service outages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Security Groups</w:t>
            </w:r>
          </w:p>
        </w:tc>
        <w:tc>
          <w:tcPr/>
          <w:p>
            <w:pPr>
              <w:pStyle w:val="Compact"/>
            </w:pPr>
            <w:r>
              <w:t xml:space="preserve">Access control, policy scoping, resource permissions</w:t>
            </w:r>
          </w:p>
        </w:tc>
        <w:tc>
          <w:tcPr/>
          <w:p>
            <w:pPr>
              <w:pStyle w:val="Compact"/>
            </w:pPr>
            <w:r>
              <w:t xml:space="preserve">Permission sprawl, ungoverned access, audit failures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Group Policy Objects</w:t>
            </w:r>
          </w:p>
        </w:tc>
        <w:tc>
          <w:tcPr/>
          <w:p>
            <w:pPr>
              <w:pStyle w:val="Compact"/>
            </w:pPr>
            <w:r>
              <w:t xml:space="preserve">Device configuration, security baselines, software deployment</w:t>
            </w:r>
          </w:p>
        </w:tc>
        <w:tc>
          <w:tcPr/>
          <w:p>
            <w:pPr>
              <w:pStyle w:val="Compact"/>
            </w:pPr>
            <w:r>
              <w:t xml:space="preserve">Configuration drift, inconsistent baselines, compliance gaps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DNS / DHCP</w:t>
            </w:r>
          </w:p>
        </w:tc>
        <w:tc>
          <w:tcPr/>
          <w:p>
            <w:pPr>
              <w:pStyle w:val="Compact"/>
            </w:pPr>
            <w:r>
              <w:t xml:space="preserve">Name resolution, IP allocation, AD-integrated zones</w:t>
            </w:r>
          </w:p>
        </w:tc>
        <w:tc>
          <w:tcPr/>
          <w:p>
            <w:pPr>
              <w:pStyle w:val="Compact"/>
            </w:pPr>
            <w:r>
              <w:t xml:space="preserve">Name resolution failures, IP conflicts, split-brain DNS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PKI / Certificate Services</w:t>
            </w:r>
          </w:p>
        </w:tc>
        <w:tc>
          <w:tcPr/>
          <w:p>
            <w:pPr>
              <w:pStyle w:val="Compact"/>
            </w:pPr>
            <w:r>
              <w:t xml:space="preserve">Certificate issuance, auto-enrollment, CRL distribution</w:t>
            </w:r>
          </w:p>
        </w:tc>
        <w:tc>
          <w:tcPr/>
          <w:p>
            <w:pPr>
              <w:pStyle w:val="Compact"/>
            </w:pPr>
            <w:r>
              <w:t xml:space="preserve">Silent certificate expiration, authentication failures, mTLS breaks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RADIUS / NPS</w:t>
            </w:r>
          </w:p>
        </w:tc>
        <w:tc>
          <w:tcPr/>
          <w:p>
            <w:pPr>
              <w:pStyle w:val="Compact"/>
            </w:pPr>
            <w:r>
              <w:t xml:space="preserve">802.1X network access, VPN authentication, Wi-Fi auth</w:t>
            </w:r>
          </w:p>
        </w:tc>
        <w:tc>
          <w:tcPr/>
          <w:p>
            <w:pPr>
              <w:pStyle w:val="Compact"/>
            </w:pPr>
            <w:r>
              <w:t xml:space="preserve">Network access failures, VPN outages, unauthorized access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LDAP</w:t>
            </w:r>
          </w:p>
        </w:tc>
        <w:tc>
          <w:tcPr/>
          <w:p>
            <w:pPr>
              <w:pStyle w:val="Compact"/>
            </w:pPr>
            <w:r>
              <w:t xml:space="preserve">Application authentication, directory queries, legacy integrations</w:t>
            </w:r>
          </w:p>
        </w:tc>
        <w:tc>
          <w:tcPr/>
          <w:p>
            <w:pPr>
              <w:pStyle w:val="Compact"/>
            </w:pPr>
            <w:r>
              <w:t xml:space="preserve">Application login failures, directory query errors, broken integrations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SPNs / App Registrations</w:t>
            </w:r>
          </w:p>
        </w:tc>
        <w:tc>
          <w:tcPr/>
          <w:p>
            <w:pPr>
              <w:pStyle w:val="Compact"/>
            </w:pPr>
            <w:r>
              <w:t xml:space="preserve">Kerberos service principal names, application identity</w:t>
            </w:r>
          </w:p>
        </w:tc>
        <w:tc>
          <w:tcPr/>
          <w:p>
            <w:pPr>
              <w:pStyle w:val="Compact"/>
            </w:pPr>
            <w:r>
              <w:t xml:space="preserve">Application SSO breaks, delegation failures, service identity loss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Trust Relationships</w:t>
            </w:r>
          </w:p>
        </w:tc>
        <w:tc>
          <w:tcPr/>
          <w:p>
            <w:pPr>
              <w:pStyle w:val="Compact"/>
            </w:pPr>
            <w:r>
              <w:t xml:space="preserve">Cross-domain authentication, forest trusts, selective authentication</w:t>
            </w:r>
          </w:p>
        </w:tc>
        <w:tc>
          <w:tcPr/>
          <w:p>
            <w:pPr>
              <w:pStyle w:val="Compact"/>
            </w:pPr>
            <w:r>
              <w:t xml:space="preserve">Cross-domain access failures, authentication breaks between orgs</w:t>
            </w:r>
          </w:p>
        </w:tc>
      </w:tr>
    </w:tbl>
    <w:bookmarkEnd w:id="10"/>
    <w:bookmarkStart w:id="14" w:name="eight-adapter-interfaces"/>
    <w:p>
      <w:pPr>
        <w:pStyle w:val="Heading2"/>
      </w:pPr>
      <w:r>
        <w:t xml:space="preserve">Eight Adapter Interfaces</w:t>
      </w:r>
    </w:p>
    <w:p>
      <w:pPr>
        <w:pStyle w:val="FirstParagraph"/>
      </w:pPr>
      <w:r>
        <w:t xml:space="preserve">Each AD-dependent service gets a dedicated adapter interface that defines the governance</w:t>
      </w:r>
      <w:r>
        <w:t xml:space="preserve"> </w:t>
      </w:r>
      <w:r>
        <w:t xml:space="preserve">model for migrating that service away from Active Directory. Every adapter follows the</w:t>
      </w:r>
      <w:r>
        <w:t xml:space="preserve"> </w:t>
      </w:r>
      <w:r>
        <w:t xml:space="preserve">same structure: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Discovery</w:t>
      </w:r>
      <w:r>
        <w:t xml:space="preserve"> </w:t>
      </w:r>
      <w:r>
        <w:t xml:space="preserve">— what to inventory and how to find it in AD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Risk Assessment</w:t>
      </w:r>
      <w:r>
        <w:t xml:space="preserve"> </w:t>
      </w:r>
      <w:r>
        <w:t xml:space="preserve">— what fails if this is not migrated correctly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Target Architecture</w:t>
      </w:r>
      <w:r>
        <w:t xml:space="preserve"> </w:t>
      </w:r>
      <w:r>
        <w:t xml:space="preserve">— the modern equivalent and how governance works there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Migration Path</w:t>
      </w:r>
      <w:r>
        <w:t xml:space="preserve"> </w:t>
      </w:r>
      <w:r>
        <w:t xml:space="preserve">— step-by-step governance-driven migration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Validation</w:t>
      </w:r>
      <w:r>
        <w:t xml:space="preserve"> </w:t>
      </w:r>
      <w:r>
        <w:t xml:space="preserve">— how to confirm the migration preserved governance integrity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Rollback</w:t>
      </w:r>
      <w:r>
        <w:t xml:space="preserve"> </w:t>
      </w:r>
      <w:r>
        <w:t xml:space="preserve">— what to do if the migration causes failures</w:t>
      </w:r>
    </w:p>
    <w:bookmarkStart w:id="11" w:name="critical-priority-silent-failure-risk"/>
    <w:p>
      <w:pPr>
        <w:pStyle w:val="Heading3"/>
      </w:pPr>
      <w:r>
        <w:t xml:space="preserve">CRITICAL Priority — Silent Failure Risk</w:t>
      </w:r>
    </w:p>
    <w:p>
      <w:pPr>
        <w:pStyle w:val="FirstParagraph"/>
      </w:pPr>
      <w:r>
        <w:t xml:space="preserve">These adapters address services that fail</w:t>
      </w:r>
      <w:r>
        <w:t xml:space="preserve"> </w:t>
      </w:r>
      <w:r>
        <w:rPr>
          <w:i/>
          <w:iCs/>
        </w:rPr>
        <w:t xml:space="preserve">silently</w:t>
      </w:r>
      <w:r>
        <w:t xml:space="preserve"> </w:t>
      </w:r>
      <w:r>
        <w:t xml:space="preserve">when AD governance is removed.</w:t>
      </w:r>
      <w:r>
        <w:t xml:space="preserve"> </w:t>
      </w:r>
      <w:r>
        <w:t xml:space="preserve">No error messages, no alerts — just things that stop working.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18"/>
        <w:gridCol w:w="2741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  <w:r>
              <w:t xml:space="preserve">Adapter</w:t>
            </w:r>
          </w:p>
        </w:tc>
        <w:tc>
          <w:tcPr/>
          <w:p>
            <w:pPr>
              <w:pStyle w:val="Compact"/>
            </w:pPr>
            <w:r>
              <w:t xml:space="preserve">Risk Profile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DM_020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PKI / Certificate Services</w:t>
            </w:r>
          </w:p>
        </w:tc>
        <w:tc>
          <w:tcPr/>
          <w:p>
            <w:pPr>
              <w:pStyle w:val="Compact"/>
            </w:pPr>
            <w:r>
              <w:t xml:space="preserve">Certificates stop auto-enrolling. mTLS connections fail weeks later when certs expire. Nobody notices until production breaks.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DM_030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RADIUS / 802.1X / VPN</w:t>
            </w:r>
          </w:p>
        </w:tc>
        <w:tc>
          <w:tcPr/>
          <w:p>
            <w:pPr>
              <w:pStyle w:val="Compact"/>
            </w:pPr>
            <w:r>
              <w:t xml:space="preserve">Network access control stops authenticating against AD groups. Devices fall off the network. VPN stops accepting machine certificates.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DM_040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LDAP Proxy</w:t>
            </w:r>
          </w:p>
        </w:tc>
        <w:tc>
          <w:tcPr/>
          <w:p>
            <w:pPr>
              <w:pStyle w:val="Compact"/>
            </w:pPr>
            <w:r>
              <w:t xml:space="preserve">Legacy applications that authenticate via LDAP bind stop working. This is the largest hidden attack surface in most enterprises — hundreds of apps nobody inventoried.</w:t>
            </w:r>
          </w:p>
        </w:tc>
      </w:tr>
    </w:tbl>
    <w:bookmarkEnd w:id="11"/>
    <w:bookmarkStart w:id="12" w:name="high-priority-operational-impact"/>
    <w:p>
      <w:pPr>
        <w:pStyle w:val="Heading3"/>
      </w:pPr>
      <w:r>
        <w:t xml:space="preserve">HIGH Priority — Operational Impact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18"/>
        <w:gridCol w:w="2741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  <w:r>
              <w:t xml:space="preserve">Adapter</w:t>
            </w:r>
          </w:p>
        </w:tc>
        <w:tc>
          <w:tcPr/>
          <w:p>
            <w:pPr>
              <w:pStyle w:val="Compact"/>
            </w:pPr>
            <w:r>
              <w:t xml:space="preserve">Risk Profile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DM_010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IPAM (InfoBlox / BlueCat)</w:t>
            </w:r>
          </w:p>
        </w:tc>
        <w:tc>
          <w:tcPr/>
          <w:p>
            <w:pPr>
              <w:pStyle w:val="Compact"/>
            </w:pPr>
            <w:r>
              <w:t xml:space="preserve">IP address management loses its AD-integrated authority model. Includes vendor-specific adapter manifests for InfoBlox and BlueCat.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DM_050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Sync Engine (Entra Connect)</w:t>
            </w:r>
          </w:p>
        </w:tc>
        <w:tc>
          <w:tcPr/>
          <w:p>
            <w:pPr>
              <w:pStyle w:val="Compact"/>
            </w:pPr>
            <w:r>
              <w:t xml:space="preserve">The bridge between AD and Entra ID. This adapter defines the retirement criteria — when is it safe to turn off Entra Connect? Includes a 12-point Retirement Readiness Checklist.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DM_060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Device Management</w:t>
            </w:r>
          </w:p>
        </w:tc>
        <w:tc>
          <w:tcPr/>
          <w:p>
            <w:pPr>
              <w:pStyle w:val="Compact"/>
            </w:pPr>
            <w:r>
              <w:t xml:space="preserve">SCCM/MECM to Intune transition. GPO-to-configuration-profile translation. Co-management state machine.</w:t>
            </w:r>
          </w:p>
        </w:tc>
      </w:tr>
    </w:tbl>
    <w:bookmarkEnd w:id="12"/>
    <w:bookmarkStart w:id="13" w:name="medium-priority-operational-continuity"/>
    <w:p>
      <w:pPr>
        <w:pStyle w:val="Heading3"/>
      </w:pPr>
      <w:r>
        <w:t xml:space="preserve">MEDIUM Priority — Operational Continuity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18"/>
        <w:gridCol w:w="2741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  <w:r>
              <w:t xml:space="preserve">Adapter</w:t>
            </w:r>
          </w:p>
        </w:tc>
        <w:tc>
          <w:tcPr/>
          <w:p>
            <w:pPr>
              <w:pStyle w:val="Compact"/>
            </w:pPr>
            <w:r>
              <w:t xml:space="preserve">Risk Profile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DM_070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NTP / Time Services</w:t>
            </w:r>
          </w:p>
        </w:tc>
        <w:tc>
          <w:tcPr/>
          <w:p>
            <w:pPr>
              <w:pStyle w:val="Compact"/>
            </w:pPr>
            <w:r>
              <w:t xml:space="preserve">Kerberos requires clock synchronization within 5 minutes. AD provided this implicitly via the PDC emulator. Entra ID does not. Clock skew causes authentication failures that look like identity problems.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DM_080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DFS / File Services</w:t>
            </w:r>
          </w:p>
        </w:tc>
        <w:tc>
          <w:tcPr/>
          <w:p>
            <w:pPr>
              <w:pStyle w:val="Compact"/>
            </w:pPr>
            <w:r>
              <w:t xml:space="preserve">DFS namespaces and UNC paths that reference AD domain names. User-facing file access breaks when the domain name changes. Migration requires namespace redirection and GPO-based drive mapping updates.</w:t>
            </w:r>
          </w:p>
        </w:tc>
      </w:tr>
    </w:tbl>
    <w:bookmarkEnd w:id="13"/>
    <w:bookmarkEnd w:id="14"/>
    <w:bookmarkStart w:id="15" w:name="the-eight-core-concepts"/>
    <w:p>
      <w:pPr>
        <w:pStyle w:val="Heading2"/>
      </w:pPr>
      <w:r>
        <w:t xml:space="preserve">The Eight Core Concepts</w:t>
      </w:r>
    </w:p>
    <w:p>
      <w:pPr>
        <w:pStyle w:val="FirstParagraph"/>
      </w:pPr>
      <w:r>
        <w:t xml:space="preserve">Every adapter is grounded in the Federal Modernization Program’s eight universal core concepts: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94"/>
        <w:gridCol w:w="2026"/>
        <w:gridCol w:w="349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Core Concept</w:t>
            </w:r>
          </w:p>
        </w:tc>
        <w:tc>
          <w:tcPr/>
          <w:p>
            <w:pPr>
              <w:pStyle w:val="Compact"/>
            </w:pPr>
            <w:r>
              <w:t xml:space="preserve">Definition</w:t>
            </w:r>
          </w:p>
        </w:tc>
        <w:tc>
          <w:tcPr/>
          <w:p>
            <w:pPr>
              <w:pStyle w:val="Compact"/>
            </w:pPr>
            <w:r>
              <w:t xml:space="preserve">Adapter Relevance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SSOT</w:t>
            </w:r>
          </w:p>
        </w:tc>
        <w:tc>
          <w:tcPr/>
          <w:p>
            <w:pPr>
              <w:pStyle w:val="Compact"/>
            </w:pPr>
            <w:r>
              <w:t xml:space="preserve">Every claim has one authoritative origin</w:t>
            </w:r>
          </w:p>
        </w:tc>
        <w:tc>
          <w:tcPr/>
          <w:p>
            <w:pPr>
              <w:pStyle w:val="Compact"/>
            </w:pPr>
            <w:r>
              <w:t xml:space="preserve">Each adapter defines its SSOT for governance decisions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Conversation as atomic unit</w:t>
            </w:r>
          </w:p>
        </w:tc>
        <w:tc>
          <w:tcPr/>
          <w:p>
            <w:pPr>
              <w:pStyle w:val="Compact"/>
            </w:pPr>
            <w:r>
              <w:t xml:space="preserve">Every interaction binds identity, certificates, addressing, path, QoS, and telemetry</w:t>
            </w:r>
          </w:p>
        </w:tc>
        <w:tc>
          <w:tcPr/>
          <w:p>
            <w:pPr>
              <w:pStyle w:val="Compact"/>
            </w:pPr>
            <w:r>
              <w:t xml:space="preserve">Adapter migrations must preserve complete conversation integrity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Identity as root namespace</w:t>
            </w:r>
          </w:p>
        </w:tc>
        <w:tc>
          <w:tcPr/>
          <w:p>
            <w:pPr>
              <w:pStyle w:val="Compact"/>
            </w:pPr>
            <w:r>
              <w:t xml:space="preserve">Every IP, certificate, subnet, policy, and telemetry event derives from identity</w:t>
            </w:r>
          </w:p>
        </w:tc>
        <w:tc>
          <w:tcPr/>
          <w:p>
            <w:pPr>
              <w:pStyle w:val="Compact"/>
            </w:pPr>
            <w:r>
              <w:t xml:space="preserve">All adapter governance traces back to identity authority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Deterministic addressing</w:t>
            </w:r>
          </w:p>
        </w:tc>
        <w:tc>
          <w:tcPr/>
          <w:p>
            <w:pPr>
              <w:pStyle w:val="Compact"/>
            </w:pPr>
            <w:r>
              <w:t xml:space="preserve">Addressing is identity-derived and policy-driven</w:t>
            </w:r>
          </w:p>
        </w:tc>
        <w:tc>
          <w:tcPr/>
          <w:p>
            <w:pPr>
              <w:pStyle w:val="Compact"/>
            </w:pPr>
            <w:r>
              <w:t xml:space="preserve">IPAM and DNS adapters enforce deterministic address assignment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Certificate-anchored overlay</w:t>
            </w:r>
          </w:p>
        </w:tc>
        <w:tc>
          <w:tcPr/>
          <w:p>
            <w:pPr>
              <w:pStyle w:val="Compact"/>
            </w:pPr>
            <w:r>
              <w:t xml:space="preserve">mTLS anchors tunnels, services, and trust relationships</w:t>
            </w:r>
          </w:p>
        </w:tc>
        <w:tc>
          <w:tcPr/>
          <w:p>
            <w:pPr>
              <w:pStyle w:val="Compact"/>
            </w:pPr>
            <w:r>
              <w:t xml:space="preserve">PKI adapter is the foundation — other adapters depend on 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Telemetry as control</w:t>
            </w:r>
          </w:p>
        </w:tc>
        <w:tc>
          <w:tcPr/>
          <w:p>
            <w:pPr>
              <w:pStyle w:val="Compact"/>
            </w:pPr>
            <w:r>
              <w:t xml:space="preserve">Telemetry is a real-time control input, not passive reporting</w:t>
            </w:r>
          </w:p>
        </w:tc>
        <w:tc>
          <w:tcPr/>
          <w:p>
            <w:pPr>
              <w:pStyle w:val="Compact"/>
            </w:pPr>
            <w:r>
              <w:t xml:space="preserve">Every adapter emits governance telemetry for drift detection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Embedded governance</w:t>
            </w:r>
          </w:p>
        </w:tc>
        <w:tc>
          <w:tcPr/>
          <w:p>
            <w:pPr>
              <w:pStyle w:val="Compact"/>
            </w:pPr>
            <w:r>
              <w:t xml:space="preserve">Governance is executed through orchestrated workflows, not manual tickets</w:t>
            </w:r>
          </w:p>
        </w:tc>
        <w:tc>
          <w:tcPr/>
          <w:p>
            <w:pPr>
              <w:pStyle w:val="Compact"/>
            </w:pPr>
            <w:r>
              <w:t xml:space="preserve">Adapter migrations are governed workflows, not ad-hoc projects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User experience first</w:t>
            </w:r>
          </w:p>
        </w:tc>
        <w:tc>
          <w:tcPr/>
          <w:p>
            <w:pPr>
              <w:pStyle w:val="Compact"/>
            </w:pPr>
            <w:r>
              <w:t xml:space="preserve">The migration is invisible to end users if governance was done right</w:t>
            </w:r>
          </w:p>
        </w:tc>
        <w:tc>
          <w:tcPr/>
          <w:p>
            <w:pPr>
              <w:pStyle w:val="Compact"/>
            </w:pPr>
            <w:r>
              <w:t xml:space="preserve">The ultimate validation: users notice nothing</w:t>
            </w:r>
          </w:p>
        </w:tc>
      </w:tr>
    </w:tbl>
    <w:bookmarkEnd w:id="15"/>
    <w:bookmarkStart w:id="16" w:name="the-six-migration-phases"/>
    <w:p>
      <w:pPr>
        <w:pStyle w:val="Heading2"/>
      </w:pPr>
      <w:r>
        <w:t xml:space="preserve">The Six Migration Phases</w:t>
      </w:r>
    </w:p>
    <w:p>
      <w:pPr>
        <w:pStyle w:val="FirstParagraph"/>
      </w:pPr>
      <w:r>
        <w:t xml:space="preserve">Every adapter follows the same six-phase governance-driven migration: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98"/>
        <w:gridCol w:w="2782"/>
        <w:gridCol w:w="363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Phase</w:t>
            </w:r>
          </w:p>
        </w:tc>
        <w:tc>
          <w:tcPr/>
          <w:p>
            <w:pPr>
              <w:pStyle w:val="Compact"/>
            </w:pPr>
            <w:r>
              <w:t xml:space="preserve">What Happens</w:t>
            </w:r>
          </w:p>
        </w:tc>
        <w:tc>
          <w:tcPr/>
          <w:p>
            <w:pPr>
              <w:pStyle w:val="Compact"/>
            </w:pPr>
            <w:r>
              <w:t xml:space="preserve">Governance Gate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1. Discover</w:t>
            </w:r>
          </w:p>
        </w:tc>
        <w:tc>
          <w:tcPr/>
          <w:p>
            <w:pPr>
              <w:pStyle w:val="Compact"/>
            </w:pPr>
            <w:r>
              <w:t xml:space="preserve">Complete inventory of what AD encodes for this service</w:t>
            </w:r>
          </w:p>
        </w:tc>
        <w:tc>
          <w:tcPr/>
          <w:p>
            <w:pPr>
              <w:pStyle w:val="Compact"/>
            </w:pPr>
            <w:r>
              <w:t xml:space="preserve">Inventory signed off by service owner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2. Normalize</w:t>
            </w:r>
          </w:p>
        </w:tc>
        <w:tc>
          <w:tcPr/>
          <w:p>
            <w:pPr>
              <w:pStyle w:val="Compact"/>
            </w:pPr>
            <w:r>
              <w:t xml:space="preserve">Rationalize decades of organic growth into a clean model</w:t>
            </w:r>
          </w:p>
        </w:tc>
        <w:tc>
          <w:tcPr/>
          <w:p>
            <w:pPr>
              <w:pStyle w:val="Compact"/>
            </w:pPr>
            <w:r>
              <w:t xml:space="preserve">Normalized model reviewed against the canonical model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3. Map</w:t>
            </w:r>
          </w:p>
        </w:tc>
        <w:tc>
          <w:tcPr/>
          <w:p>
            <w:pPr>
              <w:pStyle w:val="Compact"/>
            </w:pPr>
            <w:r>
              <w:t xml:space="preserve">Translate AD governance constructs to modern equivalents</w:t>
            </w:r>
          </w:p>
        </w:tc>
        <w:tc>
          <w:tcPr/>
          <w:p>
            <w:pPr>
              <w:pStyle w:val="Compact"/>
            </w:pPr>
            <w:r>
              <w:t xml:space="preserve">Mapping validated — no governance gaps, no orphaned objects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4. Migrate</w:t>
            </w:r>
          </w:p>
        </w:tc>
        <w:tc>
          <w:tcPr/>
          <w:p>
            <w:pPr>
              <w:pStyle w:val="Compact"/>
            </w:pPr>
            <w:r>
              <w:t xml:space="preserve">Execute with continuous validation</w:t>
            </w:r>
          </w:p>
        </w:tc>
        <w:tc>
          <w:tcPr/>
          <w:p>
            <w:pPr>
              <w:pStyle w:val="Compact"/>
            </w:pPr>
            <w:r>
              <w:t xml:space="preserve">Every step validated before proceeding — no big-bang cutover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5. Validate</w:t>
            </w:r>
          </w:p>
        </w:tc>
        <w:tc>
          <w:tcPr/>
          <w:p>
            <w:pPr>
              <w:pStyle w:val="Compact"/>
            </w:pPr>
            <w:r>
              <w:t xml:space="preserve">Confirm governance integrity is preserved post-migration</w:t>
            </w:r>
          </w:p>
        </w:tc>
        <w:tc>
          <w:tcPr/>
          <w:p>
            <w:pPr>
              <w:pStyle w:val="Compact"/>
            </w:pPr>
            <w:r>
              <w:t xml:space="preserve">Full drift scan, telemetry confirmation, user experience validation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6. Decommission</w:t>
            </w:r>
          </w:p>
        </w:tc>
        <w:tc>
          <w:tcPr/>
          <w:p>
            <w:pPr>
              <w:pStyle w:val="Compact"/>
            </w:pPr>
            <w:r>
              <w:t xml:space="preserve">Formally retire legacy infrastructure after validation passes a stability window</w:t>
            </w:r>
          </w:p>
        </w:tc>
        <w:tc>
          <w:tcPr/>
          <w:p>
            <w:pPr>
              <w:pStyle w:val="Compact"/>
            </w:pPr>
            <w:r>
              <w:t xml:space="preserve">Legacy systems offline; rollback window expired with no incidents; provenance archived for audit</w:t>
            </w:r>
          </w:p>
        </w:tc>
      </w:tr>
    </w:tbl>
    <w:p>
      <w:pPr>
        <w:pStyle w:val="BodyText"/>
      </w:pPr>
      <w:r>
        <w:t xml:space="preserve">Adapter migrations that add a net-new capability without retiring any legacy infrastructure may declare Phase 6 as</w:t>
      </w:r>
      <w:r>
        <w:t xml:space="preserve"> </w:t>
      </w:r>
      <w:r>
        <w:rPr>
          <w:rStyle w:val="VerbatimChar"/>
        </w:rPr>
        <w:t xml:space="preserve">N/A — net-new capability</w:t>
      </w:r>
      <w:r>
        <w:t xml:space="preserve"> </w:t>
      </w:r>
      <w:r>
        <w:t xml:space="preserve">in their registry entry with a brief justification. See [the program decision] for the canonical phase model and the customer-side mapping pattern (DNS 11→6, PKI 6→6).</w:t>
      </w:r>
    </w:p>
    <w:bookmarkEnd w:id="16"/>
    <w:bookmarkStart w:id="17" w:name="adapter-registration-schema"/>
    <w:p>
      <w:pPr>
        <w:pStyle w:val="Heading2"/>
      </w:pPr>
      <w:r>
        <w:t xml:space="preserve">Adapter Registration Schema</w:t>
      </w:r>
    </w:p>
    <w:p>
      <w:pPr>
        <w:pStyle w:val="FirstParagraph"/>
      </w:pPr>
      <w:r>
        <w:t xml:space="preserve">Every adapter registers in the</w:t>
      </w:r>
      <w:r>
        <w:t xml:space="preserve"> </w:t>
      </w:r>
      <w:r>
        <w:rPr>
          <w:rStyle w:val="VerbatimChar"/>
        </w:rPr>
        <w:t xml:space="preserve">migration-adapter-registry.yaml</w:t>
      </w:r>
      <w:r>
        <w:t xml:space="preserve"> </w:t>
      </w:r>
      <w:r>
        <w:t xml:space="preserve">with standardized metadata. The contract is declared in [</w:t>
      </w:r>
      <w:r>
        <w:rPr>
          <w:rStyle w:val="VerbatimChar"/>
        </w:rPr>
        <w:t xml:space="preserve">src/fmp/schemas/migration-adapter-registry/migration-adapter-registry.schema.json</w:t>
      </w:r>
      <w:r>
        <w:t xml:space="preserve">] (the program decision Phase 2):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Adapter ID and name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Priority tier</w:t>
      </w:r>
      <w:r>
        <w:t xml:space="preserve"> </w:t>
      </w:r>
      <w:r>
        <w:t xml:space="preserve">(CRITICAL / HIGH / MEDIUM)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Migration phase</w:t>
      </w:r>
      <w:r>
        <w:t xml:space="preserve"> </w:t>
      </w:r>
      <w:r>
        <w:t xml:space="preserve">(current state in the six-phase model per [the program decision]; valid values:</w:t>
      </w:r>
      <w:r>
        <w:t xml:space="preserve"> </w:t>
      </w:r>
      <w:r>
        <w:rPr>
          <w:rStyle w:val="VerbatimChar"/>
        </w:rPr>
        <w:t xml:space="preserve">Discover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Map</w:t>
      </w:r>
      <w:r>
        <w:t xml:space="preserve">,</w:t>
      </w:r>
      <w:r>
        <w:t xml:space="preserve"> </w:t>
      </w:r>
      <w:r>
        <w:rPr>
          <w:rStyle w:val="VerbatimChar"/>
        </w:rPr>
        <w:t xml:space="preserve">Migrate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Decommission</w:t>
      </w:r>
      <w:r>
        <w:t xml:space="preserve">, or</w:t>
      </w:r>
      <w:r>
        <w:t xml:space="preserve"> </w:t>
      </w:r>
      <w:r>
        <w:rPr>
          <w:rStyle w:val="VerbatimChar"/>
        </w:rPr>
        <w:t xml:space="preserve">N/A — net-new capability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Dependencies</w:t>
      </w:r>
      <w:r>
        <w:t xml:space="preserve"> </w:t>
      </w:r>
      <w:r>
        <w:t xml:space="preserve">(which other adapters must complete first)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Validation criteria</w:t>
      </w:r>
      <w:r>
        <w:t xml:space="preserve"> </w:t>
      </w:r>
      <w:r>
        <w:t xml:space="preserve">(machine-checkable success conditions)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Canon crosswalk</w:t>
      </w:r>
      <w:r>
        <w:t xml:space="preserve"> </w:t>
      </w:r>
      <w:r>
        <w:t xml:space="preserve">(links to relevant FMP_xxx canon documents; the legacy MOD_xxx namespace was retired into FMP_xxx per [the program decision])</w:t>
      </w:r>
    </w:p>
    <w:bookmarkEnd w:id="17"/>
    <w:bookmarkStart w:id="18" w:name="source-files"/>
    <w:p>
      <w:pPr>
        <w:pStyle w:val="Heading2"/>
      </w:pPr>
      <w:r>
        <w:t xml:space="preserve">Source Files</w:t>
      </w:r>
    </w:p>
    <w:p>
      <w:pPr>
        <w:pStyle w:val="FirstParagraph"/>
      </w:pPr>
      <w:r>
        <w:t xml:space="preserve">All Directory Migration source files are in the monorepo at</w:t>
      </w:r>
      <w:r>
        <w:t xml:space="preserve"> </w:t>
      </w:r>
      <w:r>
        <w:rPr>
          <w:rStyle w:val="VerbatimChar"/>
        </w:rPr>
        <w:t xml:space="preserve">src/fmp/modernization/directory-migration/</w:t>
      </w:r>
      <w:r>
        <w:t xml:space="preserve">. The adapter registry is at</w:t>
      </w:r>
      <w:r>
        <w:t xml:space="preserve"> </w:t>
      </w:r>
      <w:r>
        <w:rPr>
          <w:rStyle w:val="VerbatimChar"/>
        </w:rPr>
        <w:t xml:space="preserve">src/fmp/modernization/directory-migration/migration-adapter-registry.yaml</w:t>
      </w:r>
      <w:r>
        <w:t xml:space="preserve">.</w:t>
      </w:r>
    </w:p>
    <w:p>
      <w:pPr>
        <w:pStyle w:val="BodyText"/>
      </w:pPr>
      <w:r>
        <w:t xml:space="preserve">Companion documents in the module:</w:t>
      </w:r>
    </w:p>
    <w:p>
      <w:pPr>
        <w:pStyle w:val="Compact"/>
        <w:numPr>
          <w:ilvl w:val="0"/>
          <w:numId w:val="1003"/>
        </w:numPr>
      </w:pPr>
      <w:r>
        <w:t xml:space="preserve">[</w:t>
      </w:r>
      <w:r>
        <w:rPr>
          <w:rStyle w:val="VerbatimChar"/>
        </w:rPr>
        <w:t xml:space="preserve">src/fmp/modernization/directory-migration/eight-core-concepts.md</w:t>
      </w:r>
      <w:r>
        <w:t xml:space="preserve">] — the eight universal architectural concepts grounding every adapter</w:t>
      </w:r>
    </w:p>
    <w:p>
      <w:pPr>
        <w:pStyle w:val="Compact"/>
        <w:numPr>
          <w:ilvl w:val="0"/>
          <w:numId w:val="1003"/>
        </w:numPr>
      </w:pPr>
      <w:r>
        <w:t xml:space="preserve">[</w:t>
      </w:r>
      <w:r>
        <w:rPr>
          <w:rStyle w:val="VerbatimChar"/>
        </w:rPr>
        <w:t xml:space="preserve">src/fmp/modernization/directory-migration/ad-dependency-inventory.md</w:t>
      </w:r>
      <w:r>
        <w:t xml:space="preserve">] — comprehensive inventory of the eleven AD-dependent object types and their migration risks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Directory Migration — AD Infrastructure Bridge</dc:title>
  <dc:creator/>
  <cp:keywords/>
  <dcterms:created xsi:type="dcterms:W3CDTF">2026-10-19T10:11:33Z</dcterms:created>
  <dcterms:modified xsi:type="dcterms:W3CDTF">2026-10-19T10:11:33Z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iases">
    <vt:lpwstr/>
  </property>
  <property fmtid="{D5CDD505-2E9C-101B-9397-08002B2CF9AE}" pid="3" name="biblio-config">
    <vt:lpwstr>True</vt:lpwstr>
  </property>
  <property fmtid="{D5CDD505-2E9C-101B-9397-08002B2CF9AE}" pid="4" name="date">
    <vt:lpwstr>2026-04-19</vt:lpwstr>
  </property>
  <property fmtid="{D5CDD505-2E9C-101B-9397-08002B2CF9AE}" pid="5" name="header-includes">
    <vt:lpwstr/>
  </property>
  <property fmtid="{D5CDD505-2E9C-101B-9397-08002B2CF9AE}" pid="6" name="include-after">
    <vt:lpwstr/>
  </property>
  <property fmtid="{D5CDD505-2E9C-101B-9397-08002B2CF9AE}" pid="7" name="include-before">
    <vt:lpwstr/>
  </property>
  <property fmtid="{D5CDD505-2E9C-101B-9397-08002B2CF9AE}" pid="8" name="labels">
    <vt:lpwstr/>
  </property>
  <property fmtid="{D5CDD505-2E9C-101B-9397-08002B2CF9AE}" pid="9" name="lifecycle">
    <vt:lpwstr>aspirational</vt:lpwstr>
  </property>
  <property fmtid="{D5CDD505-2E9C-101B-9397-08002B2CF9AE}" pid="10" name="lifecycle_review">
    <vt:lpwstr>2026-11-22</vt:lpwstr>
  </property>
  <property fmtid="{D5CDD505-2E9C-101B-9397-08002B2CF9AE}" pid="11" name="subtitle">
    <vt:lpwstr>Everything Active Directory Was Holding Together</vt:lpwstr>
  </property>
  <property fmtid="{D5CDD505-2E9C-101B-9397-08002B2CF9AE}" pid="12" name="toc-title">
    <vt:lpwstr>Table of contents</vt:lpwstr>
  </property>
</Properties>
</file>