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svg" ContentType="image/svg+xml"/>
  <Override PartName="/word/media/rId17.svg" ContentType="image/svg+xml"/>
  <Override PartName="/word/media/rId26.svg" ContentType="image/svg+xml"/>
  <Override PartName="/word/media/rId2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Modernization Canon</w:t>
      </w:r>
    </w:p>
    <w:p>
      <w:pPr>
        <w:pStyle w:val="Subtitle"/>
      </w:pPr>
      <w:r>
        <w:t xml:space="preserve">Microsoft-Driven Identity &amp; Infrastructure Migration Framework</w:t>
      </w:r>
    </w:p>
    <w:p>
      <w:pPr>
        <w:pStyle w:val="Date"/>
      </w:pPr>
      <w:r>
        <w:t xml:space="preserve">2026-04-19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reference-architecture-bundle.docx</w:t>
              </w:r>
            </w:hyperlink>
            <w:r>
              <w:t xml:space="preserve"> </w:t>
            </w:r>
            <w:r>
              <w:t xml:space="preserve">— every page in this section concatenated into one Word document, figures embedded. Regenerated on every site deploy.</w:t>
            </w:r>
          </w:p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fig-index-image-01"/>
          <w:p>
            <w:pPr>
              <w:pStyle w:val="Compact"/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../images/reference-architecture/index-image-01-a-clean-169-architecture-illustr.sv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A clean 16:9 architecture illustration of the AD-to-Entra-ID modernization journey</w:t>
            </w:r>
          </w:p>
          <w:bookmarkEnd w:id="16"/>
        </w:tc>
      </w:tr>
    </w:tbl>
    <w:bookmarkStart w:id="21" w:name="the-problem"/>
    <w:p>
      <w:pPr>
        <w:pStyle w:val="Heading2"/>
      </w:pPr>
      <w:r>
        <w:t xml:space="preserve">The Problem</w:t>
      </w:r>
    </w:p>
    <w:p>
      <w:pPr>
        <w:pStyle w:val="FirstParagraph"/>
      </w:pPr>
      <w:r>
        <w:t xml:space="preserve">Federal agencies — and most enterprises — are frozen in 2003.</w:t>
      </w:r>
    </w:p>
    <w:p>
      <w:pPr>
        <w:pStyle w:val="BodyText"/>
      </w:pPr>
      <w:r>
        <w:t xml:space="preserve">Active Directory was never just an identity store. It was the</w:t>
      </w:r>
      <w:r>
        <w:t xml:space="preserve"> </w:t>
      </w:r>
      <w:r>
        <w:rPr>
          <w:i/>
          <w:iCs/>
        </w:rPr>
        <w:t xml:space="preserve">implicit governance model</w:t>
      </w:r>
      <w:r>
        <w:t xml:space="preserve"> </w:t>
      </w:r>
      <w:r>
        <w:t xml:space="preserve">for every network service in the enterprise: DNS, DHCP, PKI, RADIUS, LDAP authentication,</w:t>
      </w:r>
      <w:r>
        <w:t xml:space="preserve"> </w:t>
      </w:r>
      <w:r>
        <w:t xml:space="preserve">GPO-based device policy, file services, and cross-domain trust relationships. When an</w:t>
      </w:r>
      <w:r>
        <w:t xml:space="preserve"> </w:t>
      </w:r>
      <w:r>
        <w:t xml:space="preserve">administrator created an OU, they were not just organizing users — they were defining</w:t>
      </w:r>
      <w:r>
        <w:t xml:space="preserve"> </w:t>
      </w:r>
      <w:r>
        <w:t xml:space="preserve">delegation boundaries, security policy scope, group policy inheritance, and operational</w:t>
      </w:r>
      <w:r>
        <w:t xml:space="preserve"> </w:t>
      </w:r>
      <w:r>
        <w:t xml:space="preserve">accountability. The OU tree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the governance model.</w:t>
      </w:r>
    </w:p>
    <w:p>
      <w:pPr>
        <w:pStyle w:val="BodyText"/>
      </w:pPr>
      <w:r>
        <w:t xml:space="preserve">Microsoft is now deprecating the entire Client/Server stack. Entra ID replaces Active</w:t>
      </w:r>
      <w:r>
        <w:t xml:space="preserve"> </w:t>
      </w:r>
      <w:r>
        <w:t xml:space="preserve">Directory. Intune replaces Group Policy. Conditional Access replaces network-perimeter</w:t>
      </w:r>
      <w:r>
        <w:t xml:space="preserve"> </w:t>
      </w:r>
      <w:r>
        <w:t xml:space="preserve">enforcement. But Microsoft gave agencies the</w:t>
      </w:r>
      <w:r>
        <w:t xml:space="preserve"> </w:t>
      </w:r>
      <w:r>
        <w:rPr>
          <w:i/>
          <w:iCs/>
        </w:rPr>
        <w:t xml:space="preserve">tools</w:t>
      </w:r>
      <w:r>
        <w:t xml:space="preserve"> </w:t>
      </w:r>
      <w:r>
        <w:t xml:space="preserve">— nobody gave them the</w:t>
      </w:r>
      <w:r>
        <w:t xml:space="preserve"> </w:t>
      </w:r>
      <w:r>
        <w:rPr>
          <w:i/>
          <w:iCs/>
        </w:rPr>
        <w:t xml:space="preserve">framework</w:t>
      </w:r>
      <w:r>
        <w:t xml:space="preserve"> </w:t>
      </w:r>
      <w:r>
        <w:t xml:space="preserve">for what decisions to make with those tools.</w:t>
      </w:r>
    </w:p>
    <w:p>
      <w:pPr>
        <w:pStyle w:val="BodyText"/>
      </w:pPr>
      <w:r>
        <w:t xml:space="preserve">The result: agencies migrate users into Entra ID’s flat directory and lose every governance</w:t>
      </w:r>
      <w:r>
        <w:t xml:space="preserve"> </w:t>
      </w:r>
      <w:r>
        <w:t xml:space="preserve">relationship that the OU hierarchy encoded. Delegation boundaries vanish. Policy inheritance</w:t>
      </w:r>
      <w:r>
        <w:t xml:space="preserve"> </w:t>
      </w:r>
      <w:r>
        <w:t xml:space="preserve">breaks. Group membership becomes a manual spreadsheet exercise. Security groups proliferate</w:t>
      </w:r>
      <w:r>
        <w:t xml:space="preserve"> </w:t>
      </w:r>
      <w:r>
        <w:t xml:space="preserve">without governance. And the infrastructure services that depended on AD — DNS, PKI, RADIUS,</w:t>
      </w:r>
      <w:r>
        <w:t xml:space="preserve"> </w:t>
      </w:r>
      <w:r>
        <w:t xml:space="preserve">LDAP — lose their governance anchor entirely.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" w:name="fig-index-image-02"/>
          <w:p>
            <w:pPr>
              <w:pStyle w:val="Compact"/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../images/reference-architecture/index-image-02-a-169-conceptual-diagram-showing.sv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A 16:9 conceptual diagram showing Active Directory as the silent governance hub of a legacy enterprise</w:t>
            </w:r>
          </w:p>
          <w:bookmarkEnd w:id="20"/>
        </w:tc>
      </w:tr>
    </w:tbl>
    <w:bookmarkEnd w:id="21"/>
    <w:bookmarkStart w:id="25" w:name="the-solution"/>
    <w:p>
      <w:pPr>
        <w:pStyle w:val="Heading2"/>
      </w:pPr>
      <w:r>
        <w:t xml:space="preserve">The Solution</w:t>
      </w:r>
    </w:p>
    <w:p>
      <w:pPr>
        <w:pStyle w:val="FirstParagraph"/>
      </w:pPr>
      <w:r>
        <w:t xml:space="preserve">The Federal Modernization Program Modernization Canon is that missing framework.</w:t>
      </w:r>
    </w:p>
    <w:p>
      <w:pPr>
        <w:pStyle w:val="BodyText"/>
      </w:pPr>
      <w:r>
        <w:t xml:space="preserve">It provides the complete, deterministic, drift-resistant architecture for governing the</w:t>
      </w:r>
      <w:r>
        <w:t xml:space="preserve"> </w:t>
      </w:r>
      <w:r>
        <w:t xml:space="preserve">AD-to-Entra ID transition — not just user migration, but the full governance surface</w:t>
      </w:r>
      <w:r>
        <w:t xml:space="preserve"> </w:t>
      </w:r>
      <w:r>
        <w:t xml:space="preserve">that Active Directory was silently holding together. Two complementary canons cover the</w:t>
      </w:r>
      <w:r>
        <w:t xml:space="preserve"> </w:t>
      </w:r>
      <w:r>
        <w:t xml:space="preserve">entire migration surface: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12"/>
        <w:gridCol w:w="2354"/>
        <w:gridCol w:w="1498"/>
        <w:gridCol w:w="235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Namespace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Documents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Modernization</w:t>
            </w:r>
          </w:p>
        </w:tc>
        <w:tc>
          <w:tcPr/>
          <w:p>
            <w:pPr>
              <w:pStyle w:val="Compact"/>
            </w:pPr>
            <w:r>
              <w:t xml:space="preserve">FMP_xxx (formerly MOD_xxx; retired by [the program decision])</w:t>
            </w:r>
          </w:p>
        </w:tc>
        <w:tc>
          <w:tcPr/>
          <w:p>
            <w:pPr>
              <w:pStyle w:val="Compact"/>
            </w:pPr>
            <w:r>
              <w:t xml:space="preserve">User hierarchy, extension attributes, dynamic groups, AUs, HR-driven lifecycle, delegation, Conditional Access</w:t>
            </w:r>
          </w:p>
        </w:tc>
        <w:tc>
          <w:tcPr/>
          <w:p>
            <w:pPr>
              <w:pStyle w:val="Compact"/>
            </w:pPr>
            <w:r>
              <w:t xml:space="preserve">27 files (FMP_150 + the A–Z series FMP_151–FMP_176)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Directory Migration</w:t>
            </w:r>
          </w:p>
        </w:tc>
        <w:tc>
          <w:tcPr/>
          <w:p>
            <w:pPr>
              <w:pStyle w:val="Compact"/>
            </w:pPr>
            <w:r>
              <w:t xml:space="preserve">DM_xxx</w:t>
            </w:r>
          </w:p>
        </w:tc>
        <w:tc>
          <w:tcPr/>
          <w:p>
            <w:pPr>
              <w:pStyle w:val="Compact"/>
            </w:pPr>
            <w:r>
              <w:t xml:space="preserve">DNS, DHCP, PKI, RADIUS, LDAP, sync engines, device management, NTP, DFS</w:t>
            </w:r>
          </w:p>
        </w:tc>
        <w:tc>
          <w:tcPr/>
          <w:p>
            <w:pPr>
              <w:pStyle w:val="Compact"/>
            </w:pPr>
            <w:r>
              <w:t xml:space="preserve">12 files (DM_000–DM_090): 8 adapter interfaces + 4 framework docs</w:t>
            </w:r>
          </w:p>
        </w:tc>
      </w:tr>
    </w:tbl>
    <w:p>
      <w:pPr>
        <w:pStyle w:val="BodyText"/>
      </w:pPr>
      <w:r>
        <w:t xml:space="preserve">Both canons share a universal design principle: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Canon Rule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fmp-gos is a universal enterprise product. It is NOT government-specific. Federal</w:t>
            </w:r>
            <w:r>
              <w:t xml:space="preserve"> </w:t>
            </w:r>
            <w:r>
              <w:t xml:space="preserve">compliance (FedRAMP, OSCAL, KSI) is one vertical adapter on top of the universal core.</w:t>
            </w:r>
            <w:r>
              <w:t xml:space="preserve"> </w:t>
            </w:r>
            <w:r>
              <w:t xml:space="preserve">Never frame the core engine as federal-only.</w:t>
            </w:r>
          </w:p>
          <w:p/>
        </w:tc>
      </w:tr>
    </w:tbl>
    <w:bookmarkEnd w:id="25"/>
    <w:bookmarkStart w:id="30" w:name="X4c7f7ab4f666220f4b70c62aa5cd2f04132246a"/>
    <w:p>
      <w:pPr>
        <w:pStyle w:val="Heading2"/>
      </w:pPr>
      <w:r>
        <w:t xml:space="preserve">Architecture: The Four-Layer Governance Stack</w:t>
      </w:r>
    </w:p>
    <w:p>
      <w:pPr>
        <w:pStyle w:val="FirstParagraph"/>
      </w:pPr>
      <w:r>
        <w:t xml:space="preserve">The architecture is a four-layer governance stack. Each layer has a defined</w:t>
      </w:r>
      <w:r>
        <w:t xml:space="preserve"> </w:t>
      </w:r>
      <w:r>
        <w:t xml:space="preserve">responsibility, explicit dependency relationships, and canonical artifacts.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98"/>
        <w:gridCol w:w="3210"/>
        <w:gridCol w:w="321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</w:pPr>
            <w:r>
              <w:t xml:space="preserve">Key Artifacts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Governance Layer</w:t>
            </w:r>
          </w:p>
        </w:tc>
        <w:tc>
          <w:tcPr/>
          <w:p>
            <w:pPr>
              <w:pStyle w:val="Compact"/>
            </w:pPr>
            <w:r>
              <w:t xml:space="preserve">Drift detection, telemetry, escalation, boundary impact, provenance, error taxonomy</w:t>
            </w:r>
          </w:p>
        </w:tc>
        <w:tc>
          <w:tcPr/>
          <w:p>
            <w:pPr>
              <w:pStyle w:val="Compact"/>
            </w:pPr>
            <w:r>
              <w:t xml:space="preserve">FMP_163 (Drift Engine); FMP_167 (SLA Escalation Playbooks); FMP_174 (Telemetry)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Policy Layer</w:t>
            </w:r>
          </w:p>
        </w:tc>
        <w:tc>
          <w:tcPr/>
          <w:p>
            <w:pPr>
              <w:pStyle w:val="Compact"/>
            </w:pPr>
            <w:r>
              <w:t xml:space="preserve">Validation cmdlets, enforcement test suite, decision trees, SLA tracking</w:t>
            </w:r>
          </w:p>
        </w:tc>
        <w:tc>
          <w:tcPr/>
          <w:p>
            <w:pPr>
              <w:pStyle w:val="Compact"/>
            </w:pPr>
            <w:r>
              <w:t xml:space="preserve">FMP_159 (PowerShell Validation); FMP_161 (Decision Trees); FMP_162 (SLA Heatmap)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Structure Layer</w:t>
            </w:r>
          </w:p>
        </w:tc>
        <w:tc>
          <w:tcPr/>
          <w:p>
            <w:pPr>
              <w:pStyle w:val="Compact"/>
            </w:pPr>
            <w:r>
              <w:t xml:space="preserve">Administrative-Unit delegation, workflow catalog, migration runbook</w:t>
            </w:r>
          </w:p>
        </w:tc>
        <w:tc>
          <w:tcPr/>
          <w:p>
            <w:pPr>
              <w:pStyle w:val="Compact"/>
            </w:pPr>
            <w:r>
              <w:t xml:space="preserve">FMP_154 (Delegation Matrix); FMP_156 (Migration Runbook)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Layer</w:t>
            </w:r>
          </w:p>
        </w:tc>
        <w:tc>
          <w:tcPr/>
          <w:p>
            <w:pPr>
              <w:pStyle w:val="Compact"/>
            </w:pPr>
            <w:r>
              <w:t xml:space="preserve">Dynamic-group library, attribute mapping, extension attributes</w:t>
            </w:r>
          </w:p>
        </w:tc>
        <w:tc>
          <w:tcPr/>
          <w:p>
            <w:pPr>
              <w:pStyle w:val="Compact"/>
            </w:pPr>
            <w:r>
              <w:t xml:space="preserve">FMP_150 (Executive Summary); FMP_152 (Dynamic Groups); FMP_153 (Attribute Mapping)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index-image-03"/>
          <w:p>
            <w:pPr>
              <w:pStyle w:val="Compact"/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../images/reference-architecture/index-image-03-a-clean-169-layered-stack-diagra.sv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A clean 16:9 layered-stack diagram showing the four-layer governance stack</w:t>
            </w:r>
          </w:p>
          <w:bookmarkEnd w:id="29"/>
        </w:tc>
      </w:tr>
    </w:tbl>
    <w:bookmarkEnd w:id="30"/>
    <w:bookmarkStart w:id="34" w:name="Xd29c6cfa758faeb3f95d1ec23105cd4fcf4e44d"/>
    <w:p>
      <w:pPr>
        <w:pStyle w:val="Heading2"/>
      </w:pPr>
      <w:r>
        <w:t xml:space="preserve">Governance Principles — 3 Universal + 3 Tier-Specific</w:t>
      </w:r>
    </w:p>
    <w:p>
      <w:pPr>
        <w:pStyle w:val="FirstParagraph"/>
      </w:pPr>
      <w:r>
        <w:t xml:space="preserve">Per [the program decision], the Federal Modernization Program ships</w:t>
      </w:r>
      <w:r>
        <w:t xml:space="preserve"> </w:t>
      </w:r>
      <w:r>
        <w:rPr>
          <w:b/>
          <w:bCs/>
        </w:rPr>
        <w:t xml:space="preserve">6 governance principles in two scopes</w:t>
      </w:r>
      <w:r>
        <w:t xml:space="preserve">, declared canonically in [</w:t>
      </w:r>
      <w:r>
        <w:rPr>
          <w:rStyle w:val="VerbatimChar"/>
        </w:rPr>
        <w:t xml:space="preserve">src/fmp/canon/substrate-manifest.yaml</w:t>
      </w:r>
      <w:r>
        <w:t xml:space="preserve">] (FMP_200). The substrate manifest is the code SSOT for principles; the descriptions below mirror it verbatim.</w:t>
      </w:r>
    </w:p>
    <w:bookmarkStart w:id="31" w:name="universal-substrate-principles"/>
    <w:p>
      <w:pPr>
        <w:pStyle w:val="Heading3"/>
      </w:pPr>
      <w:r>
        <w:t xml:space="preserve">3 Universal Substrate Principles</w:t>
      </w:r>
    </w:p>
    <w:p>
      <w:pPr>
        <w:pStyle w:val="FirstParagraph"/>
      </w:pPr>
      <w:r>
        <w:t xml:space="preserve">These apply at all 5 conformance tiers per [the program decision]. Every the Federal Modernization Program deployment honors all three.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Single Source of Truth (SSOT).</w:t>
      </w:r>
      <w:r>
        <w:t xml:space="preserve"> </w:t>
      </w:r>
      <w:r>
        <w:t xml:space="preserve">Canonical governance artifacts under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 </w:t>
      </w:r>
      <w:r>
        <w:t xml:space="preserve">define structure, policy intent, and registry authority exactly once. Downstream systems consume those artifacts via</w:t>
      </w:r>
      <w:r>
        <w:t xml:space="preserve"> </w:t>
      </w:r>
      <w:r>
        <w:rPr>
          <w:rStyle w:val="VerbatimChar"/>
        </w:rPr>
        <w:t xml:space="preserve">importlib.resources</w:t>
      </w:r>
      <w:r>
        <w:t xml:space="preserve"> </w:t>
      </w:r>
      <w:r>
        <w:t xml:space="preserve">rather than duplicating policy logic.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Canon-Anchored Evidence.</w:t>
      </w:r>
      <w:r>
        <w:t xml:space="preserve"> </w:t>
      </w:r>
      <w:r>
        <w:t xml:space="preserve">Every artifact the substrate produces — SSP, POA&amp;M, KSI dashboards, component definitions — cites the canon document ID and version it derives from. Reviewers trace findings back to requirements deterministically.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Drift Is Explicit.</w:t>
      </w:r>
      <w:r>
        <w:t xml:space="preserve"> </w:t>
      </w:r>
      <w:r>
        <w:t xml:space="preserve">Five-class taxonomy (</w:t>
      </w:r>
      <w:r>
        <w:rPr>
          <w:rStyle w:val="VerbatimChar"/>
        </w:rPr>
        <w:t xml:space="preserve">DRIFT-SCHEMA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DRIFT-SEMANTIC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) surfaces structural and provenance mismatch as first-class findings, not exception reports.</w:t>
      </w:r>
    </w:p>
    <w:bookmarkEnd w:id="31"/>
    <w:bookmarkStart w:id="32" w:name="tier-specific-principles"/>
    <w:p>
      <w:pPr>
        <w:pStyle w:val="Heading3"/>
      </w:pPr>
      <w:r>
        <w:t xml:space="preserve">3 Tier-Specific Principles</w:t>
      </w:r>
    </w:p>
    <w:p>
      <w:pPr>
        <w:pStyle w:val="FirstParagraph"/>
      </w:pPr>
      <w:r>
        <w:t xml:space="preserve">These become operational only at the named the program decision tier (inclusive — apply at that tier and above):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Applies at tier</w:t>
            </w:r>
          </w:p>
        </w:tc>
        <w:tc>
          <w:tcPr/>
          <w:p>
            <w:pPr>
              <w:pStyle w:val="Compact"/>
            </w:pPr>
            <w:r>
              <w:t xml:space="preserve">Rationale for tier 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Two-Brain Execution</w:t>
            </w:r>
            <w:r>
              <w:t xml:space="preserve"> </w:t>
            </w:r>
            <w:r>
              <w:t xml:space="preserve">— Copilot governs (canonical review, policy enforcement, validation); Execution Substrate executes (PowerShell, Graph API, tenant provisioning); governance logic and execution logic never co-mingle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3+</w:t>
            </w:r>
            <w:r>
              <w:t xml:space="preserve"> </w:t>
            </w:r>
            <w:r>
              <w:t xml:space="preserve">(Active Substrate)</w:t>
            </w:r>
          </w:p>
        </w:tc>
        <w:tc>
          <w:tcPr/>
          <w:p>
            <w:pPr>
              <w:pStyle w:val="Compact"/>
            </w:pPr>
            <w:r>
              <w:t xml:space="preserve">At Tiers 1–2 there is no active runtime to split between governance and execution. The principle becomes operational only when the Federal Modernization Program writes agency state.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Boundary Enforcement</w:t>
            </w:r>
            <w:r>
              <w:t xml:space="preserve"> </w:t>
            </w:r>
            <w:r>
              <w:t xml:space="preserve">— No governance artifact may extend beyond the M365 GCC-Moderate SaaS boundary. Out-of-scope references are non-canonical and rejected at validation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4+</w:t>
            </w:r>
            <w:r>
              <w:t xml:space="preserve"> </w:t>
            </w:r>
            <w:r>
              <w:t xml:space="preserve">(Active Services / Platform Server)</w:t>
            </w:r>
          </w:p>
        </w:tc>
        <w:tc>
          <w:tcPr/>
          <w:p>
            <w:pPr>
              <w:pStyle w:val="Compact"/>
            </w:pPr>
            <w:r>
              <w:t xml:space="preserve">At Tiers 1–3, boundary is a documented scope; at Tier 4 it becomes an enforced runtime contract on agency-deployed the Federal Modernization Program services.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Tenant Agnosticism</w:t>
            </w:r>
            <w:r>
              <w:t xml:space="preserve"> </w:t>
            </w:r>
            <w:r>
              <w:t xml:space="preserve">— All artifacts are portable across any M365 GCC-Moderate tenant. No tenant-specific identifiers, UPNs, or GUIDs. All environment values are injected at deployment time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5</w:t>
            </w:r>
            <w:r>
              <w:t xml:space="preserve"> </w:t>
            </w:r>
            <w:r>
              <w:t xml:space="preserve">(Embedded Libraries)</w:t>
            </w:r>
          </w:p>
        </w:tc>
        <w:tc>
          <w:tcPr/>
          <w:p>
            <w:pPr>
              <w:pStyle w:val="Compact"/>
            </w:pPr>
            <w:r>
              <w:t xml:space="preserve">At Tiers 1–4, the Federal Modernization Program runs agency-side and may carry tenant-local context. At Tier 5, code shipped to third parties (PyPI, NuGet, adapter SDK) MUST be portable.</w:t>
            </w:r>
          </w:p>
        </w:tc>
      </w:tr>
    </w:tbl>
    <w:bookmarkEnd w:id="32"/>
    <w:bookmarkStart w:id="33" w:name="Xda63e276373be5d7f0c93f181f8ef97bce3737c"/>
    <w:p>
      <w:pPr>
        <w:pStyle w:val="Heading3"/>
      </w:pPr>
      <w:r>
        <w:t xml:space="preserve">Historical names (</w:t>
      </w:r>
      <w:r>
        <w:t xml:space="preserve">“Seven Non-Negotiable Principles”</w:t>
      </w:r>
      <w:r>
        <w:t xml:space="preserve">)</w:t>
      </w:r>
    </w:p>
    <w:p>
      <w:pPr>
        <w:pStyle w:val="FirstParagraph"/>
      </w:pPr>
      <w:r>
        <w:t xml:space="preserve">Earlier framings of this canon listed seven principles. Per the program decision, four of those names were partial expressions of the universal three and have been collapsed into them: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Retired narrative name</w:t>
            </w:r>
          </w:p>
        </w:tc>
        <w:tc>
          <w:tcPr/>
          <w:p>
            <w:pPr>
              <w:pStyle w:val="Compact"/>
            </w:pPr>
            <w:r>
              <w:t xml:space="preserve">Collapses into universal principle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Deterministic State</w:t>
            </w:r>
          </w:p>
        </w:tc>
        <w:tc>
          <w:tcPr/>
          <w:p>
            <w:pPr>
              <w:pStyle w:val="Compact"/>
            </w:pPr>
            <w:r>
              <w:t xml:space="preserve">SSOT (single canonical state per object)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Schema Fixity</w:t>
            </w:r>
          </w:p>
        </w:tc>
        <w:tc>
          <w:tcPr/>
          <w:p>
            <w:pPr>
              <w:pStyle w:val="Compact"/>
            </w:pPr>
            <w:r>
              <w:t xml:space="preserve">SSOT (canon defines structure once)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Traceability</w:t>
            </w:r>
          </w:p>
        </w:tc>
        <w:tc>
          <w:tcPr/>
          <w:p>
            <w:pPr>
              <w:pStyle w:val="Compact"/>
            </w:pPr>
            <w:r>
              <w:t xml:space="preserve">Canon-Anchored Evidence (same property, different label)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Resistance</w:t>
            </w:r>
          </w:p>
        </w:tc>
        <w:tc>
          <w:tcPr/>
          <w:p>
            <w:pPr>
              <w:pStyle w:val="Compact"/>
            </w:pPr>
            <w:r>
              <w:t xml:space="preserve">Drift Is Explicit (same property; the 5-class taxonomy is the canonical drift surface)</w:t>
            </w:r>
          </w:p>
        </w:tc>
      </w:tr>
    </w:tbl>
    <w:p>
      <w:pPr>
        <w:pStyle w:val="BodyText"/>
      </w:pPr>
      <w:r>
        <w:t xml:space="preserve">The other three names (Boundary Enforcement, Two-Brain Execution, Tenant Agnosticism) remain canonical, now scoped to the tiers where they bind. The</w:t>
      </w:r>
      <w:r>
        <w:t xml:space="preserve"> </w:t>
      </w:r>
      <w:r>
        <w:t xml:space="preserve">“seven principles”</w:t>
      </w:r>
      <w:r>
        <w:t xml:space="preserve"> </w:t>
      </w:r>
      <w:r>
        <w:t xml:space="preserve">phrasing should not be cited in new material; refer to the 3 + 3 split above or to the substrate manifest directly.</w:t>
      </w:r>
      <w:r>
        <w:t xml:space="preserve"> </w:t>
      </w:r>
      <w:r>
        <w:t xml:space="preserve">“Assessment Before Action”</w:t>
      </w:r>
      <w:r>
        <w:t xml:space="preserve"> </w:t>
      </w:r>
      <w:r>
        <w:t xml:space="preserve">is treated as an operational discipline — a corollary of Drift Is Explicit and Canon-Anchored Evidence — not a first-class substrate principle.</w:t>
      </w:r>
    </w:p>
    <w:bookmarkEnd w:id="33"/>
    <w:bookmarkEnd w:id="34"/>
    <w:bookmarkStart w:id="35" w:name="who-this-is-for"/>
    <w:p>
      <w:pPr>
        <w:pStyle w:val="Heading2"/>
      </w:pPr>
      <w:r>
        <w:t xml:space="preserve">Who This Is For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00"/>
        <w:gridCol w:w="46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Audience</w:t>
            </w:r>
          </w:p>
        </w:tc>
        <w:tc>
          <w:tcPr/>
          <w:p>
            <w:pPr>
              <w:pStyle w:val="Compact"/>
            </w:pPr>
            <w:r>
              <w:t xml:space="preserve">What They 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Federal CISOs and CIOs</w:t>
            </w:r>
          </w:p>
        </w:tc>
        <w:tc>
          <w:tcPr/>
          <w:p>
            <w:pPr>
              <w:pStyle w:val="Compact"/>
            </w:pPr>
            <w:r>
              <w:t xml:space="preserve">A governed framework for AD retirement that does not create compliance gaps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IT Modernization Program Managers</w:t>
            </w:r>
          </w:p>
        </w:tc>
        <w:tc>
          <w:tcPr/>
          <w:p>
            <w:pPr>
              <w:pStyle w:val="Compact"/>
            </w:pPr>
            <w:r>
              <w:t xml:space="preserve">Step-by-step runbooks with deterministic outcomes, not</w:t>
            </w:r>
            <w:r>
              <w:t xml:space="preserve"> </w:t>
            </w:r>
            <w:r>
              <w:t xml:space="preserve">“it depends”</w:t>
            </w:r>
            <w:r>
              <w:t xml:space="preserve"> </w:t>
            </w:r>
            <w:r>
              <w:t xml:space="preserve">guidance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Architects</w:t>
            </w:r>
          </w:p>
        </w:tc>
        <w:tc>
          <w:tcPr/>
          <w:p>
            <w:pPr>
              <w:pStyle w:val="Compact"/>
            </w:pPr>
            <w:r>
              <w:t xml:space="preserve">Dynamic group library, AU delegation matrix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Network and Infrastructure Engineers</w:t>
            </w:r>
          </w:p>
        </w:tc>
        <w:tc>
          <w:tcPr/>
          <w:p>
            <w:pPr>
              <w:pStyle w:val="Compact"/>
            </w:pPr>
            <w:r>
              <w:t xml:space="preserve">Adapter interfaces for every AD-dependent service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Compliance Officers</w:t>
            </w:r>
          </w:p>
        </w:tc>
        <w:tc>
          <w:tcPr/>
          <w:p>
            <w:pPr>
              <w:pStyle w:val="Compact"/>
            </w:pPr>
            <w:r>
              <w:t xml:space="preserve">Provenance-tracked, drift-resistant artifacts that satisfy FedRAMP continuous monitoring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Enterprise Architects (non-federal)</w:t>
            </w:r>
          </w:p>
        </w:tc>
        <w:tc>
          <w:tcPr/>
          <w:p>
            <w:pPr>
              <w:pStyle w:val="Compact"/>
            </w:pPr>
            <w:r>
              <w:t xml:space="preserve">Universal framework — federal compliance is a vertical adapter, not the core</w:t>
            </w:r>
          </w:p>
        </w:tc>
      </w:tr>
    </w:tbl>
    <w:bookmarkEnd w:id="35"/>
    <w:bookmarkStart w:id="44" w:name="navigation"/>
    <w:p>
      <w:pPr>
        <w:pStyle w:val="Heading2"/>
      </w:pPr>
      <w:r>
        <w:t xml:space="preserve">Navigation</w:t>
      </w:r>
    </w:p>
    <w:bookmarkStart w:id="37" w:name="canon-entry-points"/>
    <w:p>
      <w:pPr>
        <w:pStyle w:val="Heading3"/>
      </w:pPr>
      <w:r>
        <w:t xml:space="preserve">Canon entry points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40"/>
        <w:gridCol w:w="46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is There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Modernization</w:t>
            </w:r>
          </w:p>
        </w:tc>
        <w:tc>
          <w:tcPr/>
          <w:p>
            <w:pPr>
              <w:pStyle w:val="Compact"/>
            </w:pPr>
            <w:r>
              <w:t xml:space="preserve">The A-Z Suite: 27 canonical artifacts (FMP_150 + FMP_151–FMP_176) governing user hierarchy, dynamic groups, delegation, migration, drift detection, and operational governance</w:t>
            </w:r>
          </w:p>
        </w:tc>
      </w:tr>
      <w:tr>
        <w:tc>
          <w:tcPr/>
          <w:p>
            <w:pPr>
              <w:pStyle w:val="Compact"/>
            </w:pPr>
            <w:hyperlink r:id="rId36">
              <w:r>
                <w:rPr>
                  <w:rStyle w:val="Hyperlink"/>
                </w:rPr>
                <w:t xml:space="preserve">Directory Migration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8 adapter interfaces for every infrastructure service AD was holding together: IPAM, PKI, RADIUS, LDAP, sync engines, devices, NTP, DFS</w:t>
            </w:r>
          </w:p>
        </w:tc>
      </w:tr>
    </w:tbl>
    <w:bookmarkEnd w:id="37"/>
    <w:bookmarkStart w:id="43" w:name="explainers-and-walk-throughs"/>
    <w:p>
      <w:pPr>
        <w:pStyle w:val="Heading3"/>
      </w:pPr>
      <w:r>
        <w:t xml:space="preserve">Explainers and walk-throughs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5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Who it’s for</w:t>
            </w:r>
          </w:p>
        </w:tc>
      </w:tr>
      <w:tr>
        <w:tc>
          <w:tcPr/>
          <w:p>
            <w:pPr>
              <w:pStyle w:val="Compact"/>
            </w:pPr>
            <w:hyperlink r:id="rId38">
              <w:r>
                <w:rPr>
                  <w:rStyle w:val="Hyperlink"/>
                </w:rPr>
                <w:t xml:space="preserve">Delegation Matrix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Identity admins mapping Administrative Units to operator roles</w:t>
            </w:r>
          </w:p>
        </w:tc>
      </w:tr>
      <w:tr>
        <w:tc>
          <w:tcPr/>
          <w:p>
            <w:pPr>
              <w:pStyle w:val="Compact"/>
            </w:pPr>
            <w:hyperlink r:id="rId39">
              <w:r>
                <w:rPr>
                  <w:rStyle w:val="Hyperlink"/>
                </w:rPr>
                <w:t xml:space="preserve">Intune-First Asset Onboarding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Procurement + endpoint teams governing</w:t>
            </w:r>
            <w:r>
              <w:t xml:space="preserve"> </w:t>
            </w:r>
            <w:r>
              <w:rPr>
                <w:b/>
                <w:bCs/>
              </w:rPr>
              <w:t xml:space="preserve">net-new</w:t>
            </w:r>
            <w:r>
              <w:t xml:space="preserve"> </w:t>
            </w:r>
            <w:r>
              <w:t xml:space="preserve">devices from day zero (per the program decision; for existing-fleet GPO replacement see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GPO Sunset Program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Directory Migration — Adapters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Network/infrastructure engineers wiring DNS/DHCP/PKI/RADIUS through canonical adapters</w:t>
            </w:r>
          </w:p>
        </w:tc>
      </w:tr>
      <w:tr>
        <w:tc>
          <w:tcPr/>
          <w:p>
            <w:pPr>
              <w:pStyle w:val="Compact"/>
            </w:pPr>
            <w:hyperlink r:id="rId42">
              <w:r>
                <w:rPr>
                  <w:rStyle w:val="Hyperlink"/>
                </w:rPr>
                <w:t xml:space="preserve">GPO-to-Cloud Governance Gaps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Architects/operators asking</w:t>
            </w:r>
            <w:r>
              <w:t xml:space="preserve"> </w:t>
            </w:r>
            <w:r>
              <w:rPr>
                <w:i/>
                <w:iCs/>
              </w:rPr>
              <w:t xml:space="preserve">“what control do we lose moving Group Policy to Intune/Entra?”</w:t>
            </w:r>
            <w:r>
              <w:t xml:space="preserve"> </w:t>
            </w:r>
            <w:r>
              <w:t xml:space="preserve">— the five lost capabilities</w:t>
            </w:r>
          </w:p>
        </w:tc>
      </w:tr>
    </w:tbl>
    <w:bookmarkEnd w:id="43"/>
    <w:bookmarkEnd w:id="44"/>
    <w:bookmarkStart w:id="45" w:name="source-files"/>
    <w:p>
      <w:pPr>
        <w:pStyle w:val="Heading2"/>
      </w:pPr>
      <w:r>
        <w:t xml:space="preserve">Source Files</w:t>
      </w:r>
    </w:p>
    <w:p>
      <w:pPr>
        <w:pStyle w:val="FirstParagraph"/>
      </w:pPr>
      <w:r>
        <w:t xml:space="preserve">All canonical source files are maintained in the monorepo: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Directory Migration:</w:t>
      </w:r>
      <w:r>
        <w:t xml:space="preserve"> </w:t>
      </w:r>
      <w:r>
        <w:rPr>
          <w:rStyle w:val="VerbatimChar"/>
        </w:rPr>
        <w:t xml:space="preserve">src/fmp/modernization/directory-migration/</w:t>
      </w:r>
    </w:p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svg" /><Relationship Type="http://schemas.openxmlformats.org/officeDocument/2006/relationships/image" Id="rId17" Target="media/rId17.svg" /><Relationship Type="http://schemas.openxmlformats.org/officeDocument/2006/relationships/image" Id="rId26" Target="media/rId26.sv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hyperlink" Id="rId12" Target="../../downloads/reference-architecture-bundle.docx" TargetMode="External" /><Relationship Type="http://schemas.openxmlformats.org/officeDocument/2006/relationships/hyperlink" Id="rId40" Target="../operational-guides/target-surface/intune-policy-templates.md" TargetMode="External" /><Relationship Type="http://schemas.openxmlformats.org/officeDocument/2006/relationships/hyperlink" Id="rId41" Target="adapters.md" TargetMode="External" /><Relationship Type="http://schemas.openxmlformats.org/officeDocument/2006/relationships/hyperlink" Id="rId38" Target="delegation.md" TargetMode="External" /><Relationship Type="http://schemas.openxmlformats.org/officeDocument/2006/relationships/hyperlink" Id="rId36" Target="directory-migration.html" TargetMode="External" /><Relationship Type="http://schemas.openxmlformats.org/officeDocument/2006/relationships/hyperlink" Id="rId42" Target="gpo-cloud-governance-gaps.md" TargetMode="External" /><Relationship Type="http://schemas.openxmlformats.org/officeDocument/2006/relationships/hyperlink" Id="rId39" Target="intune-first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reference-architecture-bundle.docx" TargetMode="External" /><Relationship Type="http://schemas.openxmlformats.org/officeDocument/2006/relationships/hyperlink" Id="rId40" Target="../operational-guides/target-surface/intune-policy-templates.md" TargetMode="External" /><Relationship Type="http://schemas.openxmlformats.org/officeDocument/2006/relationships/hyperlink" Id="rId41" Target="adapters.md" TargetMode="External" /><Relationship Type="http://schemas.openxmlformats.org/officeDocument/2006/relationships/hyperlink" Id="rId38" Target="delegation.md" TargetMode="External" /><Relationship Type="http://schemas.openxmlformats.org/officeDocument/2006/relationships/hyperlink" Id="rId36" Target="directory-migration.html" TargetMode="External" /><Relationship Type="http://schemas.openxmlformats.org/officeDocument/2006/relationships/hyperlink" Id="rId42" Target="gpo-cloud-governance-gaps.md" TargetMode="External" /><Relationship Type="http://schemas.openxmlformats.org/officeDocument/2006/relationships/hyperlink" Id="rId39" Target="intune-first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Modernization Canon</dc:title>
  <dc:creator/>
  <cp:keywords/>
  <dcterms:created xsi:type="dcterms:W3CDTF">2026-10-19T10:11:33Z</dcterms:created>
  <dcterms:modified xsi:type="dcterms:W3CDTF">2026-10-19T10:11:33Z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date">
    <vt:lpwstr>2026-04-19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lifecycle">
    <vt:lpwstr>aspirational</vt:lpwstr>
  </property>
  <property fmtid="{D5CDD505-2E9C-101B-9397-08002B2CF9AE}" pid="10" name="lifecycle_review">
    <vt:lpwstr>2026-11-22</vt:lpwstr>
  </property>
  <property fmtid="{D5CDD505-2E9C-101B-9397-08002B2CF9AE}" pid="11" name="subtitle">
    <vt:lpwstr>Microsoft-Driven Identity &amp; Infrastructure Migration Framework</vt:lpwstr>
  </property>
  <property fmtid="{D5CDD505-2E9C-101B-9397-08002B2CF9AE}" pid="12" name="toc-title">
    <vt:lpwstr>Table of contents</vt:lpwstr>
  </property>
</Properties>
</file>