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Intune-First Asset Onboarding — Net-New Devices into Governance from Day Zero</w:t>
      </w:r>
    </w:p>
    <w:p>
      <w:pPr>
        <w:pStyle w:val="Subtitle"/>
      </w:pPr>
      <w:r>
        <w:t xml:space="preserve">The Inverse of the AD Migration Path: Refuse the Existence of Any Ungoverned Device</w:t>
      </w:r>
    </w:p>
    <w:p>
      <w:pPr>
        <w:pStyle w:val="Date"/>
      </w:pPr>
      <w:r>
        <w:t xml:space="preserve">2026-05-15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Scope: net-new devices only (per the program decision)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page is the canon for</w:t>
            </w:r>
            <w:r>
              <w:t xml:space="preserve"> </w:t>
            </w:r>
            <w:r>
              <w:rPr>
                <w:b/>
                <w:bCs/>
              </w:rPr>
              <w:t xml:space="preserve">Intune-First Asset Onboarding</w:t>
            </w:r>
            <w:r>
              <w:t xml:space="preserve"> </w:t>
            </w:r>
            <w:r>
              <w:t xml:space="preserve">— the doctrine for devices that have</w:t>
            </w:r>
            <w:r>
              <w:t xml:space="preserve"> </w:t>
            </w:r>
            <w:r>
              <w:rPr>
                <w:i/>
                <w:iCs/>
              </w:rPr>
              <w:t xml:space="preserve">never</w:t>
            </w:r>
            <w:r>
              <w:t xml:space="preserve"> </w:t>
            </w:r>
            <w:r>
              <w:t xml:space="preserve">been on the network. For replacing GPOs on the</w:t>
            </w:r>
            <w:r>
              <w:t xml:space="preserve"> </w:t>
            </w:r>
            <w:r>
              <w:rPr>
                <w:b/>
                <w:bCs/>
              </w:rPr>
              <w:t xml:space="preserve">existing</w:t>
            </w:r>
            <w:r>
              <w:t xml:space="preserve"> </w:t>
            </w:r>
            <w:r>
              <w:t xml:space="preserve">fleet, see the</w:t>
            </w:r>
            <w:r>
              <w:t xml:space="preserve"> </w:t>
            </w:r>
            <w:hyperlink r:id="rId12">
              <w:r>
                <w:rPr>
                  <w:rStyle w:val="Hyperlink"/>
                </w:rPr>
                <w:t xml:space="preserve">GPO Sunset Program</w:t>
              </w:r>
            </w:hyperlink>
            <w:r>
              <w:t xml:space="preserve"> </w:t>
            </w:r>
            <w:r>
              <w:t xml:space="preserve">(a different program, different stakeholders, different timeline). For the policy-authoring philosophy that governs how GPO Sunset Program authors replacement policies, see the</w:t>
            </w:r>
            <w:r>
              <w:t xml:space="preserve"> </w:t>
            </w:r>
            <w:hyperlink r:id="rId13">
              <w:r>
                <w:rPr>
                  <w:rStyle w:val="Hyperlink"/>
                </w:rPr>
                <w:t xml:space="preserve">Policy Transformation Pattern</w:t>
              </w:r>
            </w:hyperlink>
            <w:r>
              <w:t xml:space="preserve"> </w:t>
            </w:r>
            <w:r>
              <w:t xml:space="preserve">(</w:t>
            </w:r>
            <w:r>
              <w:t xml:space="preserve">“regenerate, not copy”</w:t>
            </w:r>
            <w:r>
              <w:t xml:space="preserve">). Per [the program decision],</w:t>
            </w:r>
            <w:r>
              <w:t xml:space="preserve"> </w:t>
            </w:r>
            <w:r>
              <w:t xml:space="preserve">“Intune-First”</w:t>
            </w:r>
            <w:r>
              <w:t xml:space="preserve"> </w:t>
            </w:r>
            <w:r>
              <w:t xml:space="preserve">by itself is reserved for</w:t>
            </w:r>
            <w:r>
              <w:t xml:space="preserve"> </w:t>
            </w:r>
            <w:r>
              <w:rPr>
                <w:i/>
                <w:iCs/>
              </w:rPr>
              <w:t xml:space="preserve">this</w:t>
            </w:r>
            <w:r>
              <w:t xml:space="preserve"> </w:t>
            </w:r>
            <w:r>
              <w:t xml:space="preserve">page’s net-new doctrine and should not be used to refer to the GPO replacement program.</w:t>
            </w:r>
          </w:p>
          <w:p/>
        </w:tc>
      </w:tr>
    </w:tbl>
    <w:bookmarkStart w:id="15" w:name="what-intune-first-means"/>
    <w:p>
      <w:pPr>
        <w:pStyle w:val="Heading2"/>
      </w:pPr>
      <w:r>
        <w:t xml:space="preserve">What</w:t>
      </w:r>
      <w:r>
        <w:t xml:space="preserve"> </w:t>
      </w:r>
      <w:r>
        <w:t xml:space="preserve">“Intune-First”</w:t>
      </w:r>
      <w:r>
        <w:t xml:space="preserve"> </w:t>
      </w:r>
      <w:r>
        <w:t xml:space="preserve">Means</w:t>
      </w:r>
    </w:p>
    <w:p>
      <w:pPr>
        <w:pStyle w:val="FirstParagraph"/>
      </w:pPr>
      <w:r>
        <w:t xml:space="preserve">A net-new asset (laptop just unboxed, server just racked, phone just</w:t>
      </w:r>
      <w:r>
        <w:t xml:space="preserve"> </w:t>
      </w:r>
      <w:r>
        <w:t xml:space="preserve">issued) is governed by Intune — or, for servers, Azure Arc into the</w:t>
      </w:r>
      <w:r>
        <w:t xml:space="preserve"> </w:t>
      </w:r>
      <w:r>
        <w:t xml:space="preserve">same governance plane — from the moment it first powers on. There is</w:t>
      </w:r>
      <w:r>
        <w:t xml:space="preserve"> </w:t>
      </w:r>
      <w:r>
        <w:rPr>
          <w:b/>
          <w:bCs/>
        </w:rPr>
        <w:t xml:space="preserve">no intermediate state</w:t>
      </w:r>
      <w:r>
        <w:t xml:space="preserve"> </w:t>
      </w:r>
      <w:r>
        <w:t xml:space="preserve">where the device:</w:t>
      </w:r>
    </w:p>
    <w:p>
      <w:pPr>
        <w:pStyle w:val="Compact"/>
        <w:numPr>
          <w:ilvl w:val="0"/>
          <w:numId w:val="1001"/>
        </w:numPr>
      </w:pPr>
      <w:r>
        <w:t xml:space="preserve">joins on-prem Active Directory and waits for a future migration,</w:t>
      </w:r>
    </w:p>
    <w:p>
      <w:pPr>
        <w:pStyle w:val="Compact"/>
        <w:numPr>
          <w:ilvl w:val="0"/>
          <w:numId w:val="1001"/>
        </w:numPr>
      </w:pPr>
      <w:r>
        <w:t xml:space="preserve">is provisioned by SCCM and later co-managed,</w:t>
      </w:r>
    </w:p>
    <w:p>
      <w:pPr>
        <w:pStyle w:val="Compact"/>
        <w:numPr>
          <w:ilvl w:val="0"/>
          <w:numId w:val="1001"/>
        </w:numPr>
      </w:pPr>
      <w:r>
        <w:t xml:space="preserve">runs without an organizational assignment,</w:t>
      </w:r>
    </w:p>
    <w:p>
      <w:pPr>
        <w:pStyle w:val="Compact"/>
        <w:numPr>
          <w:ilvl w:val="0"/>
          <w:numId w:val="1001"/>
        </w:numPr>
      </w:pPr>
      <w:r>
        <w:t xml:space="preserve">enters production without a compliance evaluation,</w:t>
      </w:r>
    </w:p>
    <w:p>
      <w:pPr>
        <w:pStyle w:val="Compact"/>
        <w:numPr>
          <w:ilvl w:val="0"/>
          <w:numId w:val="1001"/>
        </w:numPr>
      </w:pPr>
      <w:r>
        <w:t xml:space="preserve">or skips the procurement-side organizational positioning step.</w:t>
      </w:r>
    </w:p>
    <w:p>
      <w:pPr>
        <w:pStyle w:val="FirstParagraph"/>
      </w:pPr>
      <w:r>
        <w:t xml:space="preserve">This is the inverse of the</w:t>
      </w:r>
      <w:r>
        <w:t xml:space="preserve"> </w:t>
      </w:r>
      <w:hyperlink r:id="rId14">
        <w:r>
          <w:rPr>
            <w:rStyle w:val="Hyperlink"/>
          </w:rPr>
          <w:t xml:space="preserve">Directory Migration</w:t>
        </w:r>
      </w:hyperlink>
      <w:r>
        <w:t xml:space="preserve"> </w:t>
      </w:r>
      <w:r>
        <w:t xml:space="preserve">path. Migration takes a device that already exists and brings it under</w:t>
      </w:r>
      <w:r>
        <w:t xml:space="preserve"> </w:t>
      </w:r>
      <w:r>
        <w:t xml:space="preserve">governance. Intune-First refuses the existence of any ungoverned device</w:t>
      </w:r>
      <w:r>
        <w:t xml:space="preserve"> </w:t>
      </w:r>
      <w:r>
        <w:t xml:space="preserve">in the first place.</w:t>
      </w:r>
    </w:p>
    <w:bookmarkEnd w:id="15"/>
    <w:bookmarkStart w:id="16" w:name="why-this-canon-exists"/>
    <w:p>
      <w:pPr>
        <w:pStyle w:val="Heading2"/>
      </w:pPr>
      <w:r>
        <w:t xml:space="preserve">Why This Canon Exists</w:t>
      </w:r>
    </w:p>
    <w:p>
      <w:pPr>
        <w:pStyle w:val="FirstParagraph"/>
      </w:pPr>
      <w:r>
        <w:t xml:space="preserve">The Federal Modernization Program already had a mature canon for</w:t>
      </w:r>
      <w:r>
        <w:t xml:space="preserve"> </w:t>
      </w:r>
      <w:r>
        <w:rPr>
          <w:b/>
          <w:bCs/>
        </w:rPr>
        <w:t xml:space="preserve">migrating</w:t>
      </w:r>
      <w:r>
        <w:t xml:space="preserve"> </w:t>
      </w:r>
      <w:r>
        <w:t xml:space="preserve">AD-joined endpoints</w:t>
      </w:r>
      <w:r>
        <w:t xml:space="preserve"> </w:t>
      </w:r>
      <w:r>
        <w:t xml:space="preserve">into Entra ID + Intune (covered by the</w:t>
      </w:r>
      <w:r>
        <w:t xml:space="preserve"> </w:t>
      </w:r>
      <w:hyperlink r:id="rId14">
        <w:r>
          <w:rPr>
            <w:rStyle w:val="Hyperlink"/>
          </w:rPr>
          <w:t xml:space="preserve">Directory Migration</w:t>
        </w:r>
      </w:hyperlink>
      <w:r>
        <w:t xml:space="preserve"> </w:t>
      </w:r>
      <w:r>
        <w:t xml:space="preserve">adapter family). What did not exist: the operational doctrine and</w:t>
      </w:r>
      <w:r>
        <w:t xml:space="preserve"> </w:t>
      </w:r>
      <w:r>
        <w:t xml:space="preserve">procurement-to-validation process for net-new assets.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intune-native/</w:t>
      </w:r>
      <w:r>
        <w:t xml:space="preserve"> </w:t>
      </w:r>
      <w:r>
        <w:t xml:space="preserve">sub-adapter slot</w:t>
      </w:r>
      <w:r>
        <w:t xml:space="preserve"> </w:t>
      </w:r>
      <w:r>
        <w:t xml:space="preserve">under</w:t>
      </w:r>
      <w:r>
        <w:t xml:space="preserve"> </w:t>
      </w:r>
      <w:r>
        <w:rPr>
          <w:rStyle w:val="VerbatimChar"/>
        </w:rPr>
        <w:t xml:space="preserve">device-management/</w:t>
      </w:r>
      <w:r>
        <w:t xml:space="preserve"> </w:t>
      </w:r>
      <w:r>
        <w:t xml:space="preserve">had been registered but never authored.</w:t>
      </w:r>
      <w:r>
        <w:t xml:space="preserve"> </w:t>
      </w:r>
      <w:r>
        <w:t xml:space="preserve">Operationally, this meant net-new asset acquisition followed an</w:t>
      </w:r>
      <w:r>
        <w:t xml:space="preserve"> </w:t>
      </w:r>
      <w:r>
        <w:t xml:space="preserve">implicit pattern with three failure modes: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Procurement-time organizational assignment was missed.</w:t>
      </w:r>
      <w:r>
        <w:t xml:space="preserve"> </w:t>
      </w:r>
      <w:r>
        <w:t xml:space="preserve">Devices ended</w:t>
      </w:r>
      <w:r>
        <w:t xml:space="preserve"> </w:t>
      </w:r>
      <w:r>
        <w:t xml:space="preserve">up wherever the runtime user-derivation script placed them — not</w:t>
      </w:r>
      <w:r>
        <w:t xml:space="preserve"> </w:t>
      </w:r>
      <w:r>
        <w:t xml:space="preserve">where procurement intended.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Cross-platform inconsistency.</w:t>
      </w:r>
      <w:r>
        <w:t xml:space="preserve"> </w:t>
      </w:r>
      <w:r>
        <w:t xml:space="preserve">Windows had Autopilot; macOS,</w:t>
      </w:r>
      <w:r>
        <w:t xml:space="preserve"> </w:t>
      </w:r>
      <w:r>
        <w:t xml:space="preserve">iOS, Android, and Arc-managed servers each had bespoke handling.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Co-management drift.</w:t>
      </w:r>
      <w:r>
        <w:t xml:space="preserve"> </w:t>
      </w:r>
      <w:r>
        <w:t xml:space="preserve">Net-new Windows endpoints occasionally</w:t>
      </w:r>
      <w:r>
        <w:t xml:space="preserve"> </w:t>
      </w:r>
      <w:r>
        <w:t xml:space="preserve">entered SCCM co-management because it was operationally convenient</w:t>
      </w:r>
      <w:r>
        <w:t xml:space="preserve"> </w:t>
      </w:r>
      <w:r>
        <w:t xml:space="preserve">— each one a future migration ticket and a present compliance gap.</w:t>
      </w:r>
    </w:p>
    <w:p>
      <w:pPr>
        <w:pStyle w:val="FirstParagraph"/>
      </w:pPr>
      <w:r>
        <w:t xml:space="preserve">The Intune-First canon closes all three.</w:t>
      </w:r>
    </w:p>
    <w:bookmarkEnd w:id="16"/>
    <w:bookmarkStart w:id="17" w:name="the-five-doctrine-pillars"/>
    <w:p>
      <w:pPr>
        <w:pStyle w:val="Heading2"/>
      </w:pPr>
      <w:r>
        <w:t xml:space="preserve">The Five Doctrine Pillars</w:t>
      </w:r>
    </w:p>
    <w:p>
      <w:pPr>
        <w:pStyle w:val="FirstParagraph"/>
      </w:pPr>
      <w:r>
        <w:t xml:space="preserve">Per the program decision</w:t>
      </w:r>
      <w:r>
        <w:t xml:space="preserve"> </w:t>
      </w:r>
      <w:r>
        <w:t xml:space="preserve">and the full doctrine at</w:t>
      </w:r>
      <w:r>
        <w:t xml:space="preserve"> </w:t>
      </w:r>
      <w:r>
        <w:rPr>
          <w:rStyle w:val="VerbatimChar"/>
        </w:rPr>
        <w:t xml:space="preserve">src/fmp/modernization/intune-first-onboarding/doctrine.md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Pillar</w:t>
            </w:r>
          </w:p>
        </w:tc>
        <w:tc>
          <w:tcPr/>
          <w:p>
            <w:pPr>
              <w:pStyle w:val="Compact"/>
            </w:pPr>
            <w:r>
              <w:t xml:space="preserve">What it asserts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 ungoverned device, ever</w:t>
            </w:r>
          </w:p>
        </w:tc>
        <w:tc>
          <w:tcPr/>
          <w:p>
            <w:pPr>
              <w:pStyle w:val="Compact"/>
            </w:pPr>
            <w:r>
              <w:t xml:space="preserve">Every asset must be governance-enrolled before transitioning to production use. Quarantine (</w:t>
            </w:r>
            <w:r>
              <w:rPr>
                <w:rStyle w:val="VerbatimChar"/>
              </w:rPr>
              <w:t xml:space="preserve">/UNPOSITIONED</w:t>
            </w:r>
            <w:r>
              <w:t xml:space="preserve">) is the safety valve, not the steady state.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Procurement is the first governance step</w:t>
            </w:r>
          </w:p>
        </w:tc>
        <w:tc>
          <w:tcPr/>
          <w:p>
            <w:pPr>
              <w:pStyle w:val="Compact"/>
            </w:pPr>
            <w:r>
              <w:t xml:space="preserve">Asset organizational assignment is determined when the PO is issued, not when the device arrives. Procurement systems integrate with the governance pipeline as a peer of HR systems for user provisioning.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Zero-touch only</w:t>
            </w:r>
          </w:p>
        </w:tc>
        <w:tc>
          <w:tcPr/>
          <w:p>
            <w:pPr>
              <w:pStyle w:val="Compact"/>
            </w:pPr>
            <w:r>
              <w:t xml:space="preserve">Manual enrollment is a controlled exception requiring written justification, compensating controls, a finite duration, and an audit entry.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One management plane per asset; no co-management for new assets</w:t>
            </w:r>
          </w:p>
        </w:tc>
        <w:tc>
          <w:tcPr/>
          <w:p>
            <w:pPr>
              <w:pStyle w:val="Compact"/>
            </w:pPr>
            <w:r>
              <w:t xml:space="preserve">Intune for endpoints; Arc + Intune Settings Catalog for servers. No greenfield SCCM, no greenfield GPO, no greenfield HAADJ.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Quarantine on failure; never silently degrade</w:t>
            </w:r>
          </w:p>
        </w:tc>
        <w:tc>
          <w:tcPr/>
          <w:p>
            <w:pPr>
              <w:pStyle w:val="Compact"/>
            </w:pPr>
            <w:r>
              <w:t xml:space="preserve">Onboarding failures produce a quarantine entry and a governance ticket — never a silently-degraded production device.</w:t>
            </w:r>
          </w:p>
        </w:tc>
      </w:tr>
    </w:tbl>
    <w:bookmarkEnd w:id="17"/>
    <w:bookmarkStart w:id="18" w:name="the-three-documented-exception-paths"/>
    <w:p>
      <w:pPr>
        <w:pStyle w:val="Heading2"/>
      </w:pPr>
      <w:r>
        <w:t xml:space="preserve">The Three Documented Exception Paths</w:t>
      </w:r>
    </w:p>
    <w:p>
      <w:pPr>
        <w:pStyle w:val="FirstParagraph"/>
      </w:pPr>
      <w:r>
        <w:t xml:space="preserve">Doctrine carve-outs for unavoidable cases. Each requires written</w:t>
      </w:r>
      <w:r>
        <w:t xml:space="preserve"> </w:t>
      </w:r>
      <w:r>
        <w:t xml:space="preserve">justification, compensating control, and an audit entry: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Path</w:t>
            </w:r>
          </w:p>
        </w:tc>
        <w:tc>
          <w:tcPr/>
          <w:p>
            <w:pPr>
              <w:pStyle w:val="Compact"/>
            </w:pPr>
            <w:r>
              <w:t xml:space="preserve">Applies to</w:t>
            </w:r>
          </w:p>
        </w:tc>
        <w:tc>
          <w:tcPr/>
          <w:p>
            <w:pPr>
              <w:pStyle w:val="Compact"/>
            </w:pPr>
            <w:r>
              <w:t xml:space="preserve">Why it’s permissible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 — User-driven enrollment for BYOD</w:t>
            </w:r>
          </w:p>
        </w:tc>
        <w:tc>
          <w:tcPr/>
          <w:p>
            <w:pPr>
              <w:pStyle w:val="Compact"/>
            </w:pPr>
            <w:r>
              <w:t xml:space="preserve">Personally-owned devices being enrolled to a corporate work profile or partition (iOS user-enrolled, Android work-profile, Windows registered)</w:t>
            </w:r>
          </w:p>
        </w:tc>
        <w:tc>
          <w:tcPr/>
          <w:p>
            <w:pPr>
              <w:pStyle w:val="Compact"/>
            </w:pPr>
            <w:r>
              <w:t xml:space="preserve">Refusing to govern BYOD at all would push users to entirely-unmanaged access via personal browsers. Governed at a lower assurance level is better than ungoverned.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 — Linux endpoint with Arc fallback</w:t>
            </w:r>
          </w:p>
        </w:tc>
        <w:tc>
          <w:tcPr/>
          <w:p>
            <w:pPr>
              <w:pStyle w:val="Compact"/>
            </w:pPr>
            <w:r>
              <w:t xml:space="preserve">Linux endpoints that cannot use Microsoft Intune’s Linux MDM surface (developer workstations requiring root, embedded Linux, air-gapped)</w:t>
            </w:r>
          </w:p>
        </w:tc>
        <w:tc>
          <w:tcPr/>
          <w:p>
            <w:pPr>
              <w:pStyle w:val="Compact"/>
            </w:pPr>
            <w:r>
              <w:t xml:space="preserve">Microsoft’s Intune Linux MDM is GA but limited; Arc + Azure Policy Guest Configuration is the substitute governance plane.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 — Pre-Server-2025 Windows servers</w:t>
            </w:r>
          </w:p>
        </w:tc>
        <w:tc>
          <w:tcPr/>
          <w:p>
            <w:pPr>
              <w:pStyle w:val="Compact"/>
            </w:pPr>
            <w:r>
              <w:t xml:space="preserve">Windows Server 2019 and 2022 hosts whose OS upgrade is not yet feasible</w:t>
            </w:r>
          </w:p>
        </w:tc>
        <w:tc>
          <w:tcPr/>
          <w:p>
            <w:pPr>
              <w:pStyle w:val="Compact"/>
            </w:pPr>
            <w:r>
              <w:t xml:space="preserve">the program decision explicitly notes Server 2019/2022 cannot use AADLoginForWindows. Arc-managed-only is acceptable as an interim state.</w:t>
            </w:r>
          </w:p>
        </w:tc>
      </w:tr>
    </w:tbl>
    <w:p>
      <w:pPr>
        <w:pStyle w:val="BodyText"/>
      </w:pPr>
      <w:r>
        <w:t xml:space="preserve">Full text in</w:t>
      </w:r>
      <w:r>
        <w:t xml:space="preserve"> </w:t>
      </w:r>
      <w:r>
        <w:rPr>
          <w:rStyle w:val="VerbatimChar"/>
        </w:rPr>
        <w:t xml:space="preserve">src/fmp/modernization/intune-first-onboarding/doctrine.md</w:t>
      </w:r>
      <w:r>
        <w:t xml:space="preserve"> </w:t>
      </w:r>
      <w:r>
        <w:t xml:space="preserve">§4.</w:t>
      </w:r>
    </w:p>
    <w:bookmarkEnd w:id="18"/>
    <w:bookmarkStart w:id="19" w:name="the-five-phase-onboarding-process"/>
    <w:p>
      <w:pPr>
        <w:pStyle w:val="Heading2"/>
      </w:pPr>
      <w:r>
        <w:t xml:space="preserve">The Five-Phase Onboarding Process</w:t>
      </w:r>
    </w:p>
    <w:p>
      <w:pPr>
        <w:pStyle w:val="FirstParagraph"/>
      </w:pPr>
      <w:r>
        <w:t xml:space="preserve">Every net-new asset, regardless of platform, follows the same five</w:t>
      </w:r>
      <w:r>
        <w:t xml:space="preserve"> </w:t>
      </w:r>
      <w:r>
        <w:t xml:space="preserve">phases. What changes per platform is the vendor program used in</w:t>
      </w:r>
      <w:r>
        <w:t xml:space="preserve"> </w:t>
      </w:r>
      <w:r>
        <w:t xml:space="preserve">Phase 2 and the enrollment vector used in Phase 4.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Phase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Trigger</w:t>
            </w:r>
          </w:p>
        </w:tc>
        <w:tc>
          <w:tcPr/>
          <w:p>
            <w:pPr>
              <w:pStyle w:val="Compact"/>
            </w:pPr>
            <w:r>
              <w:t xml:space="preserve">Output</w:t>
            </w:r>
          </w:p>
        </w:tc>
        <w:tc>
          <w:tcPr/>
          <w:p>
            <w:pPr>
              <w:pStyle w:val="Compact"/>
            </w:pPr>
            <w:r>
              <w:t xml:space="preserve">Gate to next phase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1. Procure</w:t>
            </w:r>
          </w:p>
        </w:tc>
        <w:tc>
          <w:tcPr/>
          <w:p>
            <w:pPr>
              <w:pStyle w:val="Compact"/>
            </w:pPr>
            <w:r>
              <w:t xml:space="preserve">Procurement</w:t>
            </w:r>
          </w:p>
        </w:tc>
        <w:tc>
          <w:tcPr/>
          <w:p>
            <w:pPr>
              <w:pStyle w:val="Compact"/>
            </w:pPr>
            <w:r>
              <w:t xml:space="preserve">Business request for an asset</w:t>
            </w:r>
          </w:p>
        </w:tc>
        <w:tc>
          <w:tcPr/>
          <w:p>
            <w:pPr>
              <w:pStyle w:val="Compact"/>
            </w:pPr>
            <w:r>
              <w:t xml:space="preserve">Approved PO with organizational assignment</w:t>
            </w:r>
          </w:p>
        </w:tc>
        <w:tc>
          <w:tcPr/>
          <w:p>
            <w:pPr>
              <w:pStyle w:val="Compact"/>
            </w:pPr>
            <w:r>
              <w:t xml:space="preserve">Assignment validated against the organizational registry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2. Pre-stage</w:t>
            </w:r>
          </w:p>
        </w:tc>
        <w:tc>
          <w:tcPr/>
          <w:p>
            <w:pPr>
              <w:pStyle w:val="Compact"/>
            </w:pPr>
            <w:r>
              <w:t xml:space="preserve">Procurement + Vendor</w:t>
            </w:r>
          </w:p>
        </w:tc>
        <w:tc>
          <w:tcPr/>
          <w:p>
            <w:pPr>
              <w:pStyle w:val="Compact"/>
            </w:pPr>
            <w:r>
              <w:t xml:space="preserve">PO submitted to vendor</w:t>
            </w:r>
          </w:p>
        </w:tc>
        <w:tc>
          <w:tcPr/>
          <w:p>
            <w:pPr>
              <w:pStyle w:val="Compact"/>
            </w:pPr>
            <w:r>
              <w:t xml:space="preserve">Vendor program record (Autopilot device profile, ABM device assignment, etc.)</w:t>
            </w:r>
          </w:p>
        </w:tc>
        <w:tc>
          <w:tcPr/>
          <w:p>
            <w:pPr>
              <w:pStyle w:val="Compact"/>
            </w:pPr>
            <w:r>
              <w:t xml:space="preserve">Vendor program record carries the organizational assignment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3. Position</w:t>
            </w:r>
          </w:p>
        </w:tc>
        <w:tc>
          <w:tcPr/>
          <w:p>
            <w:pPr>
              <w:pStyle w:val="Compact"/>
            </w:pPr>
            <w:r>
              <w:t xml:space="preserve">Governance pipeline</w:t>
            </w:r>
          </w:p>
        </w:tc>
        <w:tc>
          <w:tcPr/>
          <w:p>
            <w:pPr>
              <w:pStyle w:val="Compact"/>
            </w:pPr>
            <w:r>
              <w:t xml:space="preserve">Vendor confirms hardware-hash registration</w:t>
            </w:r>
          </w:p>
        </w:tc>
        <w:tc>
          <w:tcPr/>
          <w:p>
            <w:pPr>
              <w:pStyle w:val="Compact"/>
            </w:pPr>
            <w:r>
              <w:t xml:space="preserve">Pre-staged Entra ID device object placeholder OR procurement-side mapping table entry</w:t>
            </w:r>
          </w:p>
        </w:tc>
        <w:tc>
          <w:tcPr/>
          <w:p>
            <w:pPr>
              <w:pStyle w:val="Compact"/>
            </w:pPr>
            <w:r>
              <w:t xml:space="preserve">Mapping committed to governance repo and reviewed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4. Provision</w:t>
            </w:r>
          </w:p>
        </w:tc>
        <w:tc>
          <w:tcPr/>
          <w:p>
            <w:pPr>
              <w:pStyle w:val="Compact"/>
            </w:pPr>
            <w:r>
              <w:t xml:space="preserve">End user (zero-touch) or IT (assisted zero-touch)</w:t>
            </w:r>
          </w:p>
        </w:tc>
        <w:tc>
          <w:tcPr/>
          <w:p>
            <w:pPr>
              <w:pStyle w:val="Compact"/>
            </w:pPr>
            <w:r>
              <w:t xml:space="preserve">Asset arrives at recipient location</w:t>
            </w:r>
          </w:p>
        </w:tc>
        <w:tc>
          <w:tcPr/>
          <w:p>
            <w:pPr>
              <w:pStyle w:val="Compact"/>
            </w:pPr>
            <w:r>
              <w:t xml:space="preserve">Enrolled, assigned, compliant device</w:t>
            </w:r>
          </w:p>
        </w:tc>
        <w:tc>
          <w:tcPr/>
          <w:p>
            <w:pPr>
              <w:pStyle w:val="Compact"/>
            </w:pPr>
            <w:r>
              <w:t xml:space="preserve">Compliance policy returns Compliant; CA grants access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5. Validate</w:t>
            </w:r>
          </w:p>
        </w:tc>
        <w:tc>
          <w:tcPr/>
          <w:p>
            <w:pPr>
              <w:pStyle w:val="Compact"/>
            </w:pPr>
            <w:r>
              <w:t xml:space="preserve">Governance pipeline</w:t>
            </w:r>
          </w:p>
        </w:tc>
        <w:tc>
          <w:tcPr/>
          <w:p>
            <w:pPr>
              <w:pStyle w:val="Compact"/>
            </w:pPr>
            <w:r>
              <w:t xml:space="preserve">Device first compliance evaluation completes</w:t>
            </w:r>
          </w:p>
        </w:tc>
        <w:tc>
          <w:tcPr/>
          <w:p>
            <w:pPr>
              <w:pStyle w:val="Compact"/>
            </w:pPr>
            <w:r>
              <w:t xml:space="preserve">Validation record in the governance audit log</w:t>
            </w:r>
          </w:p>
        </w:tc>
        <w:tc>
          <w:tcPr/>
          <w:p>
            <w:pPr>
              <w:pStyle w:val="Compact"/>
            </w:pPr>
            <w:r>
              <w:t xml:space="preserve">All Phase 5 checks pass; device removed from quarantine if applicable</w:t>
            </w:r>
          </w:p>
        </w:tc>
      </w:tr>
    </w:tbl>
    <w:p>
      <w:pPr>
        <w:pStyle w:val="BodyText"/>
      </w:pPr>
      <w:r>
        <w:t xml:space="preserve">Full process spec in</w:t>
      </w:r>
      <w:r>
        <w:t xml:space="preserve"> </w:t>
      </w:r>
      <w:r>
        <w:rPr>
          <w:rStyle w:val="VerbatimChar"/>
        </w:rPr>
        <w:t xml:space="preserve">src/fmp/modernization/intune-first-onboarding/process.md</w:t>
      </w:r>
      <w:r>
        <w:t xml:space="preserve">.</w:t>
      </w:r>
      <w:r>
        <w:t xml:space="preserve"> </w:t>
      </w:r>
      <w:r>
        <w:t xml:space="preserve">Reference latency target:</w:t>
      </w:r>
      <w:r>
        <w:t xml:space="preserve"> </w:t>
      </w:r>
      <w:r>
        <w:rPr>
          <w:b/>
          <w:bCs/>
        </w:rPr>
        <w:t xml:space="preserve">PO issuance to production-governed within</w:t>
      </w:r>
      <w:r>
        <w:rPr>
          <w:b/>
          <w:bCs/>
        </w:rPr>
        <w:t xml:space="preserve"> </w:t>
      </w:r>
      <w:r>
        <w:rPr>
          <w:b/>
          <w:bCs/>
        </w:rPr>
        <w:t xml:space="preserve">14 calendar days</w:t>
      </w:r>
      <w:r>
        <w:t xml:space="preserve"> </w:t>
      </w:r>
      <w:r>
        <w:t xml:space="preserve">for standard hardware,</w:t>
      </w:r>
      <w:r>
        <w:t xml:space="preserve"> </w:t>
      </w:r>
      <w:r>
        <w:rPr>
          <w:b/>
          <w:bCs/>
        </w:rPr>
        <w:t xml:space="preserve">5 calendar days</w:t>
      </w:r>
      <w:r>
        <w:t xml:space="preserve"> </w:t>
      </w:r>
      <w:r>
        <w:t xml:space="preserve">for</w:t>
      </w:r>
      <w:r>
        <w:t xml:space="preserve"> </w:t>
      </w:r>
      <w:r>
        <w:t xml:space="preserve">expedited orders.</w:t>
      </w:r>
    </w:p>
    <w:bookmarkEnd w:id="19"/>
    <w:bookmarkStart w:id="20" w:name="procurement-is-the-first-governance-step"/>
    <w:p>
      <w:pPr>
        <w:pStyle w:val="Heading2"/>
      </w:pPr>
      <w:r>
        <w:t xml:space="preserve">Procurement is the First Governance Step</w:t>
      </w:r>
    </w:p>
    <w:p>
      <w:pPr>
        <w:pStyle w:val="FirstParagraph"/>
      </w:pPr>
      <w:r>
        <w:t xml:space="preserve">Phase 1 — Procure is where the doctrine departs most sharply from</w:t>
      </w:r>
      <w:r>
        <w:t xml:space="preserve"> </w:t>
      </w:r>
      <w:r>
        <w:t xml:space="preserve">historical practice. Asset organizational assignment is captured</w:t>
      </w:r>
      <w:r>
        <w:t xml:space="preserve"> </w:t>
      </w:r>
      <w:r>
        <w:rPr>
          <w:b/>
          <w:bCs/>
        </w:rPr>
        <w:t xml:space="preserve">at PO time</w:t>
      </w:r>
      <w:r>
        <w:t xml:space="preserve"> </w:t>
      </w:r>
      <w:r>
        <w:t xml:space="preserve">in a</w:t>
      </w:r>
      <w:r>
        <w:t xml:space="preserve"> </w:t>
      </w:r>
      <w:r>
        <w:t xml:space="preserve">structured field, not inferred downstream from whoever provisions the</w:t>
      </w:r>
      <w:r>
        <w:t xml:space="preserve"> </w:t>
      </w:r>
      <w:r>
        <w:t xml:space="preserve">device.</w:t>
      </w:r>
    </w:p>
    <w:p>
      <w:pPr>
        <w:pStyle w:val="BodyText"/>
      </w:pPr>
      <w:r>
        <w:t xml:space="preserve">Required intake fields, per</w:t>
      </w:r>
      <w:r>
        <w:t xml:space="preserve"> </w:t>
      </w:r>
      <w:r>
        <w:rPr>
          <w:rStyle w:val="VerbatimChar"/>
        </w:rPr>
        <w:t xml:space="preserve">procurement-handoff.md</w:t>
      </w:r>
      <w:r>
        <w:t xml:space="preserve"> </w:t>
      </w:r>
      <w:r>
        <w:t xml:space="preserve">§2: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recipient_upn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recipient_org_attributes</w:t>
      </w:r>
      <w:r>
        <w:t xml:space="preserve"> </w:t>
      </w:r>
      <w:r>
        <w:t xml:space="preserve">(resolved from Entra ID)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asset_class</w:t>
      </w:r>
      <w:r>
        <w:t xml:space="preserve"> </w:t>
      </w:r>
      <w:r>
        <w:t xml:space="preserve">(windows-endpoint / macos-endpoint / ios-tablet / etc.)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asset_assignment_type</w:t>
      </w:r>
      <w:r>
        <w:t xml:space="preserve"> </w:t>
      </w:r>
      <w:r>
        <w:t xml:space="preserve">(personal / shared / kiosk / lab / service)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asset_org_attributes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asset_orgnodeid</w:t>
      </w:r>
      <w:r>
        <w:t xml:space="preserve"> </w:t>
      </w:r>
      <w:r>
        <w:t xml:space="preserve">(validated against the organizational registry)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vendor</w:t>
      </w:r>
      <w:r>
        <w:t xml:space="preserve">,</w:t>
      </w:r>
      <w:r>
        <w:t xml:space="preserve"> </w:t>
      </w:r>
      <w:r>
        <w:rPr>
          <w:rStyle w:val="VerbatimChar"/>
        </w:rPr>
        <w:t xml:space="preserve">vendor_program</w:t>
      </w:r>
      <w:r>
        <w:t xml:space="preserve"> </w:t>
      </w:r>
      <w:r>
        <w:t xml:space="preserve">(autopilot-direct, apple-abm, android-zerotouch, samsung-knox-me, arc-direct)</w:t>
      </w:r>
    </w:p>
    <w:p>
      <w:pPr>
        <w:pStyle w:val="FirstParagraph"/>
      </w:pPr>
      <w:r>
        <w:t xml:space="preserve">The procurement system commits a JSON procurement record to</w:t>
      </w:r>
      <w:r>
        <w:t xml:space="preserve"> </w:t>
      </w:r>
      <w:r>
        <w:rPr>
          <w:rStyle w:val="VerbatimChar"/>
        </w:rPr>
        <w:t xml:space="preserve">governance/procurement/orders/{PO-number}.json</w:t>
      </w:r>
      <w:r>
        <w:t xml:space="preserve"> </w:t>
      </w:r>
      <w:r>
        <w:t xml:space="preserve">and writes the</w:t>
      </w:r>
      <w:r>
        <w:t xml:space="preserve"> </w:t>
      </w:r>
      <w:r>
        <w:t xml:space="preserve">organizational assignment to the appropriate vendor program at Phase 2.</w:t>
      </w:r>
    </w:p>
    <w:bookmarkEnd w:id="20"/>
    <w:bookmarkStart w:id="21" w:name="per-platform-onboarding-annexes"/>
    <w:p>
      <w:pPr>
        <w:pStyle w:val="Heading2"/>
      </w:pPr>
      <w:r>
        <w:t xml:space="preserve">Per-Platform Onboarding Annexes</w:t>
      </w:r>
    </w:p>
    <w:p>
      <w:pPr>
        <w:pStyle w:val="FirstParagraph"/>
      </w:pPr>
      <w:r>
        <w:t xml:space="preserve">The five-phase process is platform-neutral. Per-platform mechanics</w:t>
      </w:r>
      <w:r>
        <w:t xml:space="preserve"> </w:t>
      </w:r>
      <w:r>
        <w:t xml:space="preserve">live in dedicated annexes: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Platform</w:t>
            </w:r>
          </w:p>
        </w:tc>
        <w:tc>
          <w:tcPr/>
          <w:p>
            <w:pPr>
              <w:pStyle w:val="Compact"/>
            </w:pPr>
            <w:r>
              <w:t xml:space="preserve">Vendor program</w:t>
            </w:r>
          </w:p>
        </w:tc>
        <w:tc>
          <w:tcPr/>
          <w:p>
            <w:pPr>
              <w:pStyle w:val="Compact"/>
            </w:pPr>
            <w:r>
              <w:t xml:space="preserve">Assignment carrier</w:t>
            </w:r>
          </w:p>
        </w:tc>
        <w:tc>
          <w:tcPr/>
          <w:p>
            <w:pPr>
              <w:pStyle w:val="Compact"/>
            </w:pPr>
            <w:r>
              <w:t xml:space="preserve">Trust elevation state</w:t>
            </w:r>
          </w:p>
        </w:tc>
        <w:tc>
          <w:tcPr/>
          <w:p>
            <w:pPr>
              <w:pStyle w:val="Compact"/>
            </w:pPr>
            <w:r>
              <w:t xml:space="preserve">Annex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Windows endpoint</w:t>
            </w:r>
          </w:p>
        </w:tc>
        <w:tc>
          <w:tcPr/>
          <w:p>
            <w:pPr>
              <w:pStyle w:val="Compact"/>
            </w:pPr>
            <w:r>
              <w:t xml:space="preserve">Windows Autopilot Device Preparation (v2)</w:t>
            </w:r>
          </w:p>
        </w:tc>
        <w:tc>
          <w:tcPr/>
          <w:p>
            <w:pPr>
              <w:pStyle w:val="Compact"/>
            </w:pPr>
            <w:r>
              <w:t xml:space="preserve">Group Tag</w:t>
            </w:r>
          </w:p>
        </w:tc>
        <w:tc>
          <w:tcPr/>
          <w:p>
            <w:pPr>
              <w:pStyle w:val="Compact"/>
            </w:pPr>
            <w:r>
              <w:t xml:space="preserve">Microsoft Entra Join (per the program decision)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platforms/windows-autopilot.md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Microsoft Surface</w:t>
            </w:r>
            <w:r>
              <w:t xml:space="preserve"> </w:t>
            </w:r>
            <w:r>
              <w:rPr>
                <w:i/>
                <w:iCs/>
              </w:rPr>
              <w:t xml:space="preserve">(sub-pattern of Windows endpoint)</w:t>
            </w:r>
          </w:p>
        </w:tc>
        <w:tc>
          <w:tcPr/>
          <w:p>
            <w:pPr>
              <w:pStyle w:val="Compact"/>
            </w:pPr>
            <w:r>
              <w:t xml:space="preserve">Surface direct via Microsoft CSP, or authorized reseller (CDW, Insight, Connection)</w:t>
            </w:r>
          </w:p>
        </w:tc>
        <w:tc>
          <w:tcPr/>
          <w:p>
            <w:pPr>
              <w:pStyle w:val="Compact"/>
            </w:pPr>
            <w:r>
              <w:t xml:space="preserve">Group Tag + DFCI profile applied at ESP Device Setup</w:t>
            </w:r>
          </w:p>
        </w:tc>
        <w:tc>
          <w:tcPr/>
          <w:p>
            <w:pPr>
              <w:pStyle w:val="Compact"/>
            </w:pPr>
            <w:r>
              <w:t xml:space="preserve">Entra Join + DFCI firmware lockdown + Pluton attestation (Pro 11 / Laptop 6+)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platforms/windows-surface.md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macOS endpoint</w:t>
            </w:r>
          </w:p>
        </w:tc>
        <w:tc>
          <w:tcPr/>
          <w:p>
            <w:pPr>
              <w:pStyle w:val="Compact"/>
            </w:pPr>
            <w:r>
              <w:t xml:space="preserve">Apple Business Manager (ABM) or Apple School Manager (ASM) ADE</w:t>
            </w:r>
          </w:p>
        </w:tc>
        <w:tc>
          <w:tcPr/>
          <w:p>
            <w:pPr>
              <w:pStyle w:val="Compact"/>
            </w:pPr>
            <w:r>
              <w:t xml:space="preserve">ABM device note</w:t>
            </w:r>
          </w:p>
        </w:tc>
        <w:tc>
          <w:tcPr/>
          <w:p>
            <w:pPr>
              <w:pStyle w:val="Compact"/>
            </w:pPr>
            <w:r>
              <w:t xml:space="preserve">Supervised + ADE-enrolled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platforms/macos-abm-ade.md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iOS / iPadOS</w:t>
            </w:r>
          </w:p>
        </w:tc>
        <w:tc>
          <w:tcPr/>
          <w:p>
            <w:pPr>
              <w:pStyle w:val="Compact"/>
            </w:pPr>
            <w:r>
              <w:t xml:space="preserve">Apple ABM/ASM ADE</w:t>
            </w:r>
          </w:p>
        </w:tc>
        <w:tc>
          <w:tcPr/>
          <w:p>
            <w:pPr>
              <w:pStyle w:val="Compact"/>
            </w:pPr>
            <w:r>
              <w:t xml:space="preserve">ABM device note</w:t>
            </w:r>
          </w:p>
        </w:tc>
        <w:tc>
          <w:tcPr/>
          <w:p>
            <w:pPr>
              <w:pStyle w:val="Compact"/>
            </w:pPr>
            <w:r>
              <w:t xml:space="preserve">Supervised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platforms/mobile-ios-android.md</w:t>
            </w:r>
            <w:r>
              <w:t xml:space="preserve"> </w:t>
            </w:r>
            <w:r>
              <w:t xml:space="preserve">Part 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Android Enterprise</w:t>
            </w:r>
          </w:p>
        </w:tc>
        <w:tc>
          <w:tcPr/>
          <w:p>
            <w:pPr>
              <w:pStyle w:val="Compact"/>
            </w:pPr>
            <w:r>
              <w:t xml:space="preserve">Android Zero-Touch (Google) or Knox Mobile Enrollment (Samsung)</w:t>
            </w:r>
          </w:p>
        </w:tc>
        <w:tc>
          <w:tcPr/>
          <w:p>
            <w:pPr>
              <w:pStyle w:val="Compact"/>
            </w:pPr>
            <w:r>
              <w:t xml:space="preserve">Custom JSON managed config</w:t>
            </w:r>
          </w:p>
        </w:tc>
        <w:tc>
          <w:tcPr/>
          <w:p>
            <w:pPr>
              <w:pStyle w:val="Compact"/>
            </w:pPr>
            <w:r>
              <w:t xml:space="preserve">Device Owner 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platforms/mobile-ios-android.md</w:t>
            </w:r>
            <w:r>
              <w:t xml:space="preserve"> </w:t>
            </w:r>
            <w:r>
              <w:t xml:space="preserve">Part 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Server (Windows 2025+ / Linux)</w:t>
            </w:r>
          </w:p>
        </w:tc>
        <w:tc>
          <w:tcPr/>
          <w:p>
            <w:pPr>
              <w:pStyle w:val="Compact"/>
            </w:pPr>
            <w:r>
              <w:t xml:space="preserve">Azure Arc onboarding</w:t>
            </w:r>
          </w:p>
        </w:tc>
        <w:tc>
          <w:tcPr/>
          <w:p>
            <w:pPr>
              <w:pStyle w:val="Compact"/>
            </w:pPr>
            <w:r>
              <w:t xml:space="preserve">Azure resource tag on Arc machine</w:t>
            </w:r>
          </w:p>
        </w:tc>
        <w:tc>
          <w:tcPr/>
          <w:p>
            <w:pPr>
              <w:pStyle w:val="Compact"/>
            </w:pPr>
            <w:r>
              <w:t xml:space="preserve">WORKGROUP + Arc-onboarded; Entra-joined via AADLoginForWindows for Server 2025+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platforms/arc-managed-servers.md</w:t>
            </w:r>
          </w:p>
        </w:tc>
      </w:tr>
    </w:tbl>
    <w:bookmarkEnd w:id="21"/>
    <w:bookmarkStart w:id="22" w:name="validation-drift-classes-and-evidence"/>
    <w:p>
      <w:pPr>
        <w:pStyle w:val="Heading2"/>
      </w:pPr>
      <w:r>
        <w:t xml:space="preserve">Validation, Drift Classes, and Evidence</w:t>
      </w:r>
    </w:p>
    <w:p>
      <w:pPr>
        <w:pStyle w:val="FirstParagraph"/>
      </w:pPr>
      <w:r>
        <w:t xml:space="preserve">Phase 5 validation runs a checklist of platform-neutral and platform-</w:t>
      </w:r>
      <w:r>
        <w:t xml:space="preserve"> </w:t>
      </w:r>
      <w:r>
        <w:t xml:space="preserve">specific checks (</w:t>
      </w:r>
      <w:r>
        <w:rPr>
          <w:rStyle w:val="VerbatimChar"/>
        </w:rPr>
        <w:t xml:space="preserve">validation-and-evidence.md</w:t>
      </w:r>
      <w:r>
        <w:t xml:space="preserve"> </w:t>
      </w:r>
      <w:r>
        <w:t xml:space="preserve">§1).</w:t>
      </w:r>
      <w:r>
        <w:t xml:space="preserve"> </w:t>
      </w:r>
      <w:r>
        <w:t xml:space="preserve">Failures quarantine the device per Pillar 5.</w:t>
      </w:r>
    </w:p>
    <w:p>
      <w:pPr>
        <w:pStyle w:val="BodyText"/>
      </w:pPr>
      <w:r>
        <w:t xml:space="preserve">The doctrine introduces</w:t>
      </w:r>
      <w:r>
        <w:t xml:space="preserve"> </w:t>
      </w:r>
      <w:r>
        <w:rPr>
          <w:b/>
          <w:bCs/>
        </w:rPr>
        <w:t xml:space="preserve">five new drift classes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Drift class</w:t>
            </w:r>
          </w:p>
        </w:tc>
        <w:tc>
          <w:tcPr/>
          <w:p>
            <w:pPr>
              <w:pStyle w:val="Compact"/>
            </w:pPr>
            <w:r>
              <w:t xml:space="preserve">What it detects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DRIFT-PROCUREMENT-MISMATCH</w:t>
            </w:r>
          </w:p>
        </w:tc>
        <w:tc>
          <w:tcPr/>
          <w:p>
            <w:pPr>
              <w:pStyle w:val="Compact"/>
            </w:pPr>
            <w:r>
              <w:t xml:space="preserve">Organizational assignment on the device differs from the procurement-record value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DRIFT-VENDOR-PROGRAM-CARRIER</w:t>
            </w:r>
          </w:p>
        </w:tc>
        <w:tc>
          <w:tcPr/>
          <w:p>
            <w:pPr>
              <w:pStyle w:val="Compact"/>
            </w:pPr>
            <w:r>
              <w:t xml:space="preserve">Organizational assignment in the vendor program record (Autopilot Group Tag, ABM device note, etc.) differs from the procurement record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DRIFT-ENROLLMENT-VECTOR</w:t>
            </w:r>
          </w:p>
        </w:tc>
        <w:tc>
          <w:tcPr/>
          <w:p>
            <w:pPr>
              <w:pStyle w:val="Compact"/>
            </w:pPr>
            <w:r>
              <w:t xml:space="preserve">Device enrolled via a non-zero-touch path without an exception path grant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DRIFT-CO-MANAGEMENT-NEW</w:t>
            </w:r>
          </w:p>
        </w:tc>
        <w:tc>
          <w:tcPr/>
          <w:p>
            <w:pPr>
              <w:pStyle w:val="Compact"/>
            </w:pPr>
            <w:r>
              <w:t xml:space="preserve">Net-new Windows endpoint landed in SCCM co-management instead of Intune-first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DRIFT-PROCUREMENT-RECORD-ABSENT</w:t>
            </w:r>
          </w:p>
        </w:tc>
        <w:tc>
          <w:tcPr/>
          <w:p>
            <w:pPr>
              <w:pStyle w:val="Compact"/>
            </w:pPr>
            <w:r>
              <w:t xml:space="preserve">Device enrolled in Intune with no corresponding procurement record</w:t>
            </w:r>
          </w:p>
        </w:tc>
      </w:tr>
    </w:tbl>
    <w:p>
      <w:pPr>
        <w:pStyle w:val="BodyText"/>
      </w:pPr>
      <w:r>
        <w:t xml:space="preserve">Each detection produces an HMAC-signed evidence artifact under</w:t>
      </w:r>
      <w:r>
        <w:t xml:space="preserve"> </w:t>
      </w:r>
      <w:r>
        <w:rPr>
          <w:rStyle w:val="VerbatimChar"/>
        </w:rPr>
        <w:t xml:space="preserve">governance/evidence/intune-first/</w:t>
      </w:r>
      <w:r>
        <w:t xml:space="preserve"> </w:t>
      </w:r>
      <w:r>
        <w:t xml:space="preserve">and supports FedRAMP Moderate</w:t>
      </w:r>
      <w:r>
        <w:t xml:space="preserve"> </w:t>
      </w:r>
      <w:r>
        <w:t xml:space="preserve">control families AC-2, AC-19, CM-2, CM-7, CM-8, IA-3, MA-2, SC-15.</w:t>
      </w:r>
    </w:p>
    <w:bookmarkEnd w:id="22"/>
    <w:bookmarkStart w:id="23" w:name="source-files"/>
    <w:p>
      <w:pPr>
        <w:pStyle w:val="Heading2"/>
      </w:pPr>
      <w:r>
        <w:t xml:space="preserve">Source Files</w:t>
      </w:r>
    </w:p>
    <w:p>
      <w:pPr>
        <w:pStyle w:val="FirstParagraph"/>
      </w:pPr>
      <w:r>
        <w:t xml:space="preserve">All Intune-First Asset Onboarding canon lives in the monorepo at</w:t>
      </w:r>
      <w:r>
        <w:t xml:space="preserve"> </w:t>
      </w:r>
      <w:r>
        <w:rPr>
          <w:rStyle w:val="VerbatimChar"/>
        </w:rPr>
        <w:t xml:space="preserve">src/fmp/modernization/intune-first-onboarding/</w:t>
      </w:r>
      <w:r>
        <w:t xml:space="preserve">.</w:t>
      </w:r>
      <w:r>
        <w:t xml:space="preserve"> </w:t>
      </w:r>
      <w:r>
        <w:t xml:space="preserve">The doctrinal anchor is</w:t>
      </w:r>
      <w:r>
        <w:t xml:space="preserve"> </w:t>
      </w:r>
      <w:r>
        <w:rPr>
          <w:rStyle w:val="VerbatimChar"/>
        </w:rPr>
        <w:t xml:space="preserve">src/fmp/canon/adr/adr-071-intune-first-asset-onboarding.md</w:t>
      </w:r>
      <w:r>
        <w:t xml:space="preserve">.</w:t>
      </w:r>
    </w:p>
    <w:bookmarkEnd w:id="23"/>
    <w:bookmarkStart w:id="24" w:name="related"/>
    <w:p>
      <w:pPr>
        <w:pStyle w:val="Heading2"/>
      </w:pPr>
      <w:r>
        <w:t xml:space="preserve">Related</w:t>
      </w:r>
    </w:p>
    <w:p>
      <w:pPr>
        <w:pStyle w:val="Compact"/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Directory Migration</w:t>
        </w:r>
      </w:hyperlink>
      <w:r>
        <w:t xml:space="preserve"> </w:t>
      </w:r>
      <w:r>
        <w:t xml:space="preserve">— the sibling track</w:t>
      </w:r>
      <w:r>
        <w:t xml:space="preserve"> </w:t>
      </w:r>
      <w:r>
        <w:t xml:space="preserve">that handles existing AD-joined fleet (where Intune-First applies</w:t>
      </w:r>
      <w:r>
        <w:t xml:space="preserve"> </w:t>
      </w:r>
      <w:r>
        <w:t xml:space="preserve">to net-new acquisition, Directory Migration handles the legacy</w:t>
      </w:r>
      <w:r>
        <w:t xml:space="preserve"> </w:t>
      </w:r>
      <w:r>
        <w:t xml:space="preserve">estate)</w:t>
      </w:r>
    </w:p>
    <w:p>
      <w:pPr>
        <w:pStyle w:val="Compact"/>
        <w:numPr>
          <w:ilvl w:val="0"/>
          <w:numId w:val="1004"/>
        </w:numPr>
      </w:pPr>
      <w:r>
        <w:t xml:space="preserve">the program decision</w:t>
      </w:r>
      <w:r>
        <w:t xml:space="preserve"> </w:t>
      </w:r>
      <w:r>
        <w:t xml:space="preserve">— controlling precedent for Windows endpoint join target (Entra</w:t>
      </w:r>
      <w:r>
        <w:t xml:space="preserve"> </w:t>
      </w:r>
      <w:r>
        <w:t xml:space="preserve">Join only; HAADJ deprecated)</w:t>
      </w:r>
    </w:p>
    <w:p>
      <w:pPr>
        <w:pStyle w:val="Compact"/>
        <w:numPr>
          <w:ilvl w:val="0"/>
          <w:numId w:val="1004"/>
        </w:numPr>
      </w:pPr>
      <w:r>
        <w:t xml:space="preserve">the program decision</w:t>
      </w:r>
      <w:r>
        <w:t xml:space="preserve"> </w:t>
      </w:r>
      <w:r>
        <w:t xml:space="preserve">— controlling precedent for server identity (Arc + Entra Join,</w:t>
      </w:r>
      <w:r>
        <w:t xml:space="preserve"> </w:t>
      </w:r>
      <w:r>
        <w:t xml:space="preserve">WORKGROUP state required)</w:t>
      </w:r>
    </w:p>
    <w:p>
      <w:pPr>
        <w:pStyle w:val="Compact"/>
        <w:numPr>
          <w:ilvl w:val="0"/>
          <w:numId w:val="1004"/>
        </w:numPr>
      </w:pPr>
      <w:r>
        <w:t xml:space="preserve">the program decision</w:t>
      </w:r>
      <w:r>
        <w:t xml:space="preserve"> </w:t>
      </w:r>
      <w:r>
        <w:t xml:space="preserve">— establishes the Intune-First doctrine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../client-server-to-hybrid-cloud/05-policy-transformation.md" TargetMode="External" /><Relationship Type="http://schemas.openxmlformats.org/officeDocument/2006/relationships/hyperlink" Id="rId12" Target="../operational-guides/target-surface/intune-policy-templates.md" TargetMode="External" /><Relationship Type="http://schemas.openxmlformats.org/officeDocument/2006/relationships/hyperlink" Id="rId14" Target="directory-migration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../client-server-to-hybrid-cloud/05-policy-transformation.md" TargetMode="External" /><Relationship Type="http://schemas.openxmlformats.org/officeDocument/2006/relationships/hyperlink" Id="rId12" Target="../operational-guides/target-surface/intune-policy-templates.md" TargetMode="External" /><Relationship Type="http://schemas.openxmlformats.org/officeDocument/2006/relationships/hyperlink" Id="rId14" Target="directory-migration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Intune-First Asset Onboarding — Net-New Devices into Governance from Day Zero</dc:title>
  <dc:creator/>
  <cp:keywords/>
  <dcterms:created xsi:type="dcterms:W3CDTF">2026-10-19T10:11:34Z</dcterms:created>
  <dcterms:modified xsi:type="dcterms:W3CDTF">2026-10-19T10:11:34Z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iases">
    <vt:lpwstr/>
  </property>
  <property fmtid="{D5CDD505-2E9C-101B-9397-08002B2CF9AE}" pid="3" name="biblio-config">
    <vt:lpwstr>True</vt:lpwstr>
  </property>
  <property fmtid="{D5CDD505-2E9C-101B-9397-08002B2CF9AE}" pid="4" name="date">
    <vt:lpwstr>2026-05-15</vt:lpwstr>
  </property>
  <property fmtid="{D5CDD505-2E9C-101B-9397-08002B2CF9AE}" pid="5" name="header-includes">
    <vt:lpwstr/>
  </property>
  <property fmtid="{D5CDD505-2E9C-101B-9397-08002B2CF9AE}" pid="6" name="include-after">
    <vt:lpwstr/>
  </property>
  <property fmtid="{D5CDD505-2E9C-101B-9397-08002B2CF9AE}" pid="7" name="include-before">
    <vt:lpwstr/>
  </property>
  <property fmtid="{D5CDD505-2E9C-101B-9397-08002B2CF9AE}" pid="8" name="labels">
    <vt:lpwstr/>
  </property>
  <property fmtid="{D5CDD505-2E9C-101B-9397-08002B2CF9AE}" pid="9" name="lifecycle">
    <vt:lpwstr>aspirational</vt:lpwstr>
  </property>
  <property fmtid="{D5CDD505-2E9C-101B-9397-08002B2CF9AE}" pid="10" name="lifecycle_review">
    <vt:lpwstr>2026-11-22</vt:lpwstr>
  </property>
  <property fmtid="{D5CDD505-2E9C-101B-9397-08002B2CF9AE}" pid="11" name="subtitle">
    <vt:lpwstr>The Inverse of the AD Migration Path: Refuse the Existence of Any Ungoverned Device</vt:lpwstr>
  </property>
  <property fmtid="{D5CDD505-2E9C-101B-9397-08002B2CF9AE}" pid="12" name="toc-title">
    <vt:lpwstr>Table of contents</vt:lpwstr>
  </property>
</Properties>
</file>