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Implementation Book 01 — Prerequisites &amp; Using This Companion</w:t>
      </w:r>
    </w:p>
    <w:p>
      <w:pPr>
        <w:pStyle w:val="Subtitle"/>
      </w:pPr>
      <w:r>
        <w:t xml:space="preserve">The toolchain, the evidence model, the safety model, and the run order the rest of the books assume — the executable counterpart to the narrative’s conceptual opening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7" w:name="X31b69d774031ea096ab444c52e0f09706662ffd"/>
    <w:p>
      <w:pPr>
        <w:pStyle w:val="Heading1"/>
      </w:pPr>
      <w:r>
        <w:t xml:space="preserve">Implementation Book 01 — Prerequisites &amp; Using This Companion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Book_01.docx</w:t>
              </w:r>
            </w:hyperlink>
            <w:r>
              <w:t xml:space="preserve"> </w:t>
            </w:r>
            <w:r>
              <w:t xml:space="preserve">— this entire book as a single Word document, images included. Regenerated on every site deploy.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Companion to</w:t>
            </w:r>
            <w:r>
              <w:t xml:space="preserve"> </w:t>
            </w:r>
            <w:r>
              <w:rPr>
                <w:b/>
                <w:bCs/>
              </w:rPr>
              <w:t xml:space="preserve">narrative Book 01</w:t>
            </w:r>
            <w:r>
              <w:t xml:space="preserve">. The narrative opens with</w:t>
            </w:r>
            <w:r>
              <w:t xml:space="preserve"> </w:t>
            </w:r>
            <w:r>
              <w:rPr>
                <w:i/>
                <w:iCs/>
              </w:rPr>
              <w:t xml:space="preserve">the inheritance</w:t>
            </w:r>
            <w:r>
              <w:t xml:space="preserve"> </w:t>
            </w:r>
            <w:r>
              <w:t xml:space="preserve">— why a twenty-year Windows-authentication estate exists and why it must change. This book is the executable counterpart: not</w:t>
            </w:r>
            <w:r>
              <w:t xml:space="preserve"> </w:t>
            </w:r>
            <w:r>
              <w:rPr>
                <w:i/>
                <w:iCs/>
              </w:rPr>
              <w:t xml:space="preserve">why</w:t>
            </w:r>
            <w:r>
              <w:t xml:space="preserve">, but</w:t>
            </w:r>
            <w:r>
              <w:t xml:space="preserve"> </w:t>
            </w:r>
            <w:r>
              <w:rPr>
                <w:i/>
                <w:iCs/>
              </w:rPr>
              <w:t xml:space="preserve">what you install, how the evidence is shaped, what is safe to run, and in what order</w:t>
            </w:r>
            <w:r>
              <w:t xml:space="preserve">. Everything in this book is</w:t>
            </w:r>
            <w:r>
              <w:t xml:space="preserve"> </w:t>
            </w:r>
            <w:r>
              <w:rPr>
                <w:b/>
                <w:bCs/>
              </w:rPr>
              <w:t xml:space="preserve">read-only or setup</w:t>
            </w:r>
            <w:r>
              <w:t xml:space="preserve">; it provisions nothing and changes no production state.</w:t>
            </w:r>
          </w:p>
          <w:p/>
        </w:tc>
      </w:tr>
    </w:tbl>
    <w:bookmarkStart w:id="16" w:name="what-this-companion-automates"/>
    <w:p>
      <w:pPr>
        <w:pStyle w:val="Heading2"/>
      </w:pPr>
      <w:r>
        <w:t xml:space="preserve">What this companion automates</w:t>
      </w:r>
    </w:p>
    <w:p>
      <w:pPr>
        <w:pStyle w:val="FirstParagraph"/>
      </w:pPr>
      <w:r>
        <w:t xml:space="preserve">The narrative stays conceptual; this companion is the executable layer. Each later book documents the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script behind its step — not a paraphrase. The automation lives in two places: the read-only discovery</w:t>
      </w:r>
      <w:r>
        <w:t xml:space="preserve"> </w:t>
      </w:r>
      <w:r>
        <w:rPr>
          <w:b/>
          <w:bCs/>
        </w:rPr>
        <w:t xml:space="preserve">Spec family</w:t>
      </w:r>
      <w:r>
        <w:t xml:space="preserve"> </w:t>
      </w:r>
      <w:r>
        <w:t xml:space="preserve">under [</w:t>
      </w:r>
      <w:r>
        <w:rPr>
          <w:rStyle w:val="VerbatimChar"/>
        </w:rPr>
        <w:t xml:space="preserve">tools/discovery/</w:t>
      </w:r>
      <w:r>
        <w:t xml:space="preserve">], and the derivation/validation</w:t>
      </w:r>
      <w:r>
        <w:t xml:space="preserve"> </w:t>
      </w:r>
      <w:r>
        <w:rPr>
          <w:b/>
          <w:bCs/>
        </w:rPr>
        <w:t xml:space="preserve">PowerShell modules</w:t>
      </w:r>
      <w:r>
        <w:t xml:space="preserve"> </w:t>
      </w:r>
      <w:r>
        <w:t xml:space="preserve">under [</w:t>
      </w:r>
      <w:r>
        <w:rPr>
          <w:rStyle w:val="VerbatimChar"/>
        </w:rPr>
        <w:t xml:space="preserve">tools/powershell/</w:t>
      </w:r>
      <w:r>
        <w:t xml:space="preserve">]. The roster, by book: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Shipped automation</w:t>
            </w:r>
          </w:p>
        </w:tc>
        <w:tc>
          <w:tcPr/>
          <w:p>
            <w:pPr>
              <w:pStyle w:val="Compact"/>
            </w:pPr>
            <w:r>
              <w:t xml:space="preserve">Tier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 — Estate discovery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Spec3-D1.8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Spec1-D1.5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Find-DbaInstance</w:t>
            </w:r>
            <w:r>
              <w:t xml:space="preserve">, fused by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New-FMPEstateInventory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 — Authentication audit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Spec3-D1.8-Get-SQLServerAuthAudit</w:t>
            </w:r>
            <w:r>
              <w:t xml:space="preserve"> </w:t>
            </w:r>
            <w:r>
              <w:t xml:space="preserve">(+ the</w:t>
            </w:r>
            <w:r>
              <w:t xml:space="preserve"> </w:t>
            </w:r>
            <w:r>
              <w:rPr>
                <w:rStyle w:val="VerbatimChar"/>
              </w:rPr>
              <w:t xml:space="preserve">Spec*-D1.*</w:t>
            </w:r>
            <w:r>
              <w:t xml:space="preserve"> </w:t>
            </w:r>
            <w:r>
              <w:t xml:space="preserve">family)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 — Arc &amp; managed identity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Test-FMPArcAgentStatus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…ManagedIdentityToken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…SqlExtension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Invoke-FMPArcOnboarding</w:t>
            </w:r>
          </w:p>
        </w:tc>
        <w:tc>
          <w:tcPr/>
          <w:p>
            <w:pPr>
              <w:pStyle w:val="Compact"/>
            </w:pPr>
            <w:r>
              <w:t xml:space="preserve">validate read-only; onboard review-required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 — Login migration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New-FMPEntraLoginMapping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New-FMPEntraLoginScript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Test-FMPLoginParallelRun</w:t>
            </w:r>
          </w:p>
        </w:tc>
        <w:tc>
          <w:tcPr/>
          <w:p>
            <w:pPr>
              <w:pStyle w:val="Compact"/>
            </w:pPr>
            <w:r>
              <w:t xml:space="preserve">derive / dry-run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06 — NTLM remediation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Spec3-D1.7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Spec1-D1.5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New-FMPSpnRemediationPlan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Get-FMPNtlmGpoReport</w:t>
            </w:r>
          </w:p>
        </w:tc>
        <w:tc>
          <w:tcPr/>
          <w:p>
            <w:pPr>
              <w:pStyle w:val="Compact"/>
            </w:pPr>
            <w:r>
              <w:t xml:space="preserve">audit-first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07 — Groups &amp; AUs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Export-FMPEntraGroups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New-FMPEntraGroupClassification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New-FMPGroupLoginScript</w:t>
            </w:r>
          </w:p>
        </w:tc>
        <w:tc>
          <w:tcPr/>
          <w:p>
            <w:pPr>
              <w:pStyle w:val="Compact"/>
            </w:pPr>
            <w:r>
              <w:t xml:space="preserve">derive / dry-run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08 — Application chain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Spec3-D1.9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New-FMPAppConnectionPlan</w:t>
            </w:r>
          </w:p>
        </w:tc>
        <w:tc>
          <w:tcPr/>
          <w:p>
            <w:pPr>
              <w:pStyle w:val="Compact"/>
            </w:pPr>
            <w:r>
              <w:t xml:space="preserve">derive (conn-string change in-config)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 — Continuous monitoring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Spec3-D1.8</w:t>
            </w:r>
            <w:r>
              <w:t xml:space="preserve"> </w:t>
            </w:r>
            <w:r>
              <w:t xml:space="preserve">(scheduled),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New-FMPClosureRecord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Compare-FMPClosureRun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— Certificates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Spec3-D1.10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New-FMPSqlCertificatePlan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New-FMPPKIMigrationPlan</w:t>
            </w:r>
          </w:p>
        </w:tc>
        <w:tc>
          <w:tcPr/>
          <w:p>
            <w:pPr>
              <w:pStyle w:val="Compact"/>
            </w:pPr>
            <w:r>
              <w:t xml:space="preserve">read-only / analytical</w:t>
            </w:r>
          </w:p>
        </w:tc>
      </w:tr>
    </w:tbl>
    <w:p>
      <w:pPr>
        <w:pStyle w:val="BodyText"/>
      </w:pPr>
      <w:r>
        <w:t xml:space="preserve">There is no Book 01</w:t>
      </w:r>
      <w:r>
        <w:t xml:space="preserve"> </w:t>
      </w:r>
      <w:r>
        <w:rPr>
          <w:i/>
          <w:iCs/>
        </w:rPr>
        <w:t xml:space="preserve">script</w:t>
      </w:r>
      <w:r>
        <w:t xml:space="preserve">: the conceptual opening has no executable layer of its own. This book is the setup and orientation the executable books assume.</w:t>
      </w:r>
    </w:p>
    <w:bookmarkEnd w:id="16"/>
    <w:bookmarkStart w:id="17" w:name="step-1-install-the-toolchain"/>
    <w:p>
      <w:pPr>
        <w:pStyle w:val="Heading2"/>
      </w:pPr>
      <w:r>
        <w:t xml:space="preserve">Step 1 — Install the toolchain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PowerShell 7+</w:t>
      </w:r>
      <w:r>
        <w:t xml:space="preserve"> </w:t>
      </w:r>
      <w:r>
        <w:t xml:space="preserve">is the runtime the modules target (the</w:t>
      </w:r>
      <w:r>
        <w:t xml:space="preserve"> </w:t>
      </w:r>
      <w:r>
        <w:rPr>
          <w:rStyle w:val="VerbatimChar"/>
        </w:rPr>
        <w:t xml:space="preserve">tools/powershell</w:t>
      </w:r>
      <w:r>
        <w:t xml:space="preserve"> </w:t>
      </w:r>
      <w:r>
        <w:t xml:space="preserve">Pester CI pins PowerShell 7).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stdlib Python interpreter</w:t>
      </w:r>
      <w:r>
        <w:t xml:space="preserve"> </w:t>
      </w:r>
      <w:r>
        <w:t xml:space="preserve">(</w:t>
      </w:r>
      <w:r>
        <w:rPr>
          <w:rStyle w:val="VerbatimChar"/>
        </w:rPr>
        <w:t xml:space="preserve">python3</w:t>
      </w:r>
      <w:r>
        <w:t xml:space="preserve"> </w:t>
      </w:r>
      <w:r>
        <w:t xml:space="preserve">on PATH) is the one external dependency: it computes the canonical integrity seal (</w:t>
      </w:r>
      <w:r>
        <w:rPr>
          <w:rStyle w:val="VerbatimChar"/>
        </w:rPr>
        <w:t xml:space="preserve">json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hashlib</w:t>
      </w:r>
      <w:r>
        <w:t xml:space="preserve">), byte-identical to</w:t>
      </w:r>
      <w:r>
        <w:t xml:space="preserve"> </w:t>
      </w:r>
      <w:r>
        <w:rPr>
          <w:rStyle w:val="VerbatimChar"/>
        </w:rPr>
        <w:t xml:space="preserve">fmp.ir.models.core.canonical_hash</w:t>
      </w:r>
      <w:r>
        <w:t xml:space="preserve">. The</w:t>
      </w:r>
      <w:r>
        <w:t xml:space="preserve"> </w:t>
      </w:r>
      <w:r>
        <w:rPr>
          <w:rStyle w:val="VerbatimChar"/>
        </w:rPr>
        <w:t xml:space="preserve">fmp</w:t>
      </w:r>
      <w:r>
        <w:t xml:space="preserve"> </w:t>
      </w:r>
      <w:r>
        <w:t xml:space="preserve">package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imported, so no editable install is needed to produce sealed evidence.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discovery Specs</w:t>
      </w:r>
      <w:r>
        <w:t xml:space="preserve"> </w:t>
      </w:r>
      <w:r>
        <w:t xml:space="preserve">are pure PowerShell under</w:t>
      </w:r>
      <w:r>
        <w:t xml:space="preserve"> </w:t>
      </w:r>
      <w:r>
        <w:rPr>
          <w:rStyle w:val="VerbatimChar"/>
        </w:rPr>
        <w:t xml:space="preserve">tools/discovery/</w:t>
      </w:r>
      <w:r>
        <w:t xml:space="preserve">; run them directly.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modules</w:t>
      </w:r>
      <w:r>
        <w:t xml:space="preserve"> </w:t>
      </w:r>
      <w:r>
        <w:t xml:space="preserve">are imported from the repo:</w:t>
      </w:r>
    </w:p>
    <w:p>
      <w:pPr>
        <w:pStyle w:val="SourceCode"/>
      </w:pPr>
      <w:r>
        <w:rPr>
          <w:rStyle w:val="FunctionTok"/>
        </w:rPr>
        <w:t xml:space="preserve">Import-Module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./</w:t>
      </w:r>
      <w:r>
        <w:rPr>
          <w:rStyle w:val="NormalTok"/>
        </w:rPr>
        <w:t xml:space="preserve">tools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powershell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FMPSqlServerMigration     </w:t>
      </w:r>
      <w:r>
        <w:rPr>
          <w:rStyle w:val="CommentTok"/>
        </w:rPr>
        <w:t xml:space="preserve"># Books 02, 04, 05, 06, 07, 08, 09, 10</w:t>
      </w:r>
      <w:r>
        <w:br/>
      </w:r>
      <w:r>
        <w:rPr>
          <w:rStyle w:val="FunctionTok"/>
        </w:rPr>
        <w:t xml:space="preserve">Import-Module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./</w:t>
      </w:r>
      <w:r>
        <w:rPr>
          <w:rStyle w:val="NormalTok"/>
        </w:rPr>
        <w:t xml:space="preserve">tools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powershell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FMPIdentityAssessment     </w:t>
      </w:r>
      <w:r>
        <w:rPr>
          <w:rStyle w:val="CommentTok"/>
        </w:rPr>
        <w:t xml:space="preserve"># Book 07 group / Conditional Access export</w:t>
      </w:r>
      <w:r>
        <w:br/>
      </w:r>
      <w:r>
        <w:rPr>
          <w:rStyle w:val="FunctionTok"/>
        </w:rPr>
        <w:t xml:space="preserve">Import-Module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./</w:t>
      </w:r>
      <w:r>
        <w:rPr>
          <w:rStyle w:val="NormalTok"/>
        </w:rPr>
        <w:t xml:space="preserve">tools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powershell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FMPPlanGenerators         </w:t>
      </w:r>
      <w:r>
        <w:rPr>
          <w:rStyle w:val="CommentTok"/>
        </w:rPr>
        <w:t xml:space="preserve"># Book 10 PKI sequencing</w:t>
      </w:r>
    </w:p>
    <w:p>
      <w:pPr>
        <w:pStyle w:val="FirstParagraph"/>
      </w:pPr>
      <w:r>
        <w:t xml:space="preserve">Live Azure/Graph operations (Arc onboarding, Graph/ARM writes) additionally require the relevant CLIs (</w:t>
      </w:r>
      <w:r>
        <w:rPr>
          <w:rStyle w:val="VerbatimChar"/>
        </w:rPr>
        <w:t xml:space="preserve">azcmagent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az</w:t>
      </w:r>
      <w:r>
        <w:t xml:space="preserve">) or the</w:t>
      </w:r>
      <w:r>
        <w:t xml:space="preserve"> </w:t>
      </w:r>
      <w:r>
        <w:rPr>
          <w:rStyle w:val="VerbatimChar"/>
        </w:rPr>
        <w:t xml:space="preserve">[api]</w:t>
      </w:r>
      <w:r>
        <w:t xml:space="preserve"> </w:t>
      </w:r>
      <w:r>
        <w:t xml:space="preserve">extra, and are reachable only behind an explicit opt-in switch — every function is fully exercisable</w:t>
      </w:r>
      <w:r>
        <w:t xml:space="preserve"> </w:t>
      </w:r>
      <w:r>
        <w:rPr>
          <w:b/>
          <w:bCs/>
        </w:rPr>
        <w:t xml:space="preserve">offline</w:t>
      </w:r>
      <w:r>
        <w:t xml:space="preserve"> </w:t>
      </w:r>
      <w:r>
        <w:t xml:space="preserve">without them.</w:t>
      </w:r>
    </w:p>
    <w:bookmarkEnd w:id="17"/>
    <w:bookmarkStart w:id="18" w:name="step-2-the-evidence-model"/>
    <w:p>
      <w:pPr>
        <w:pStyle w:val="Heading2"/>
      </w:pPr>
      <w:r>
        <w:t xml:space="preserve">Step 2 — The evidence model</w:t>
      </w:r>
    </w:p>
    <w:p>
      <w:pPr>
        <w:pStyle w:val="FirstParagraph"/>
      </w:pPr>
      <w:r>
        <w:t xml:space="preserve">Every derivation and validation function emits a</w:t>
      </w:r>
      <w:r>
        <w:t xml:space="preserve"> </w:t>
      </w:r>
      <w:r>
        <w:rPr>
          <w:b/>
          <w:bCs/>
        </w:rPr>
        <w:t xml:space="preserve">provenance-sealed envelope</w:t>
      </w:r>
      <w:r>
        <w:t xml:space="preserve">, not loose output: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schema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artifact_type</w:t>
      </w:r>
      <w:r>
        <w:t xml:space="preserve"> </w:t>
      </w:r>
      <w:r>
        <w:t xml:space="preserve">name the artifact;</w:t>
      </w:r>
      <w:r>
        <w:t xml:space="preserve"> </w:t>
      </w:r>
      <w:r>
        <w:rPr>
          <w:rStyle w:val="VerbatimChar"/>
        </w:rPr>
        <w:t xml:space="preserve">data.records</w:t>
      </w:r>
      <w:r>
        <w:t xml:space="preserve"> </w:t>
      </w:r>
      <w:r>
        <w:t xml:space="preserve">holds the rows;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also carries per-artifact summary counts.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provenance</w:t>
      </w:r>
      <w:r>
        <w:t xml:space="preserve"> </w:t>
      </w:r>
      <w:r>
        <w:t xml:space="preserve">records the producing module + version, a UTC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, and a</w:t>
      </w:r>
      <w:r>
        <w:t xml:space="preserve"> </w:t>
      </w:r>
      <w:r>
        <w:rPr>
          <w:rStyle w:val="VerbatimChar"/>
        </w:rPr>
        <w:t xml:space="preserve">content_hash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sealed data omits the timestamp</w:t>
      </w:r>
      <w:r>
        <w:t xml:space="preserve">, so identical inputs yield an identical</w:t>
      </w:r>
      <w:r>
        <w:t xml:space="preserve"> </w:t>
      </w:r>
      <w:r>
        <w:rPr>
          <w:rStyle w:val="VerbatimChar"/>
        </w:rPr>
        <w:t xml:space="preserve">content_hash</w:t>
      </w:r>
      <w:r>
        <w:t xml:space="preserve"> </w:t>
      </w:r>
      <w:r>
        <w:t xml:space="preserve">— artifacts are reproducible, and a broken or unattributed envelope is a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 by definition.</w:t>
      </w:r>
    </w:p>
    <w:p>
      <w:pPr>
        <w:pStyle w:val="FirstParagraph"/>
      </w:pPr>
      <w:r>
        <w:t xml:space="preserve">Write each step’s envelope under a dated output directory and keep it under version control; that is what makes Book 09’s scheduled runs diffable and the whole chain auditable.</w:t>
      </w:r>
    </w:p>
    <w:bookmarkEnd w:id="18"/>
    <w:bookmarkStart w:id="22" w:name="step-3-the-safety-model"/>
    <w:p>
      <w:pPr>
        <w:pStyle w:val="Heading2"/>
      </w:pPr>
      <w:r>
        <w:t xml:space="preserve">Step 3 — The safety model</w:t>
      </w:r>
    </w:p>
    <w:p>
      <w:pPr>
        <w:pStyle w:val="FirstParagraph"/>
      </w:pPr>
      <w:r>
        <w:t xml:space="preserve">The companion draws one bright line, enforced in code: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Read-only / derivation functions run directly</w:t>
      </w:r>
      <w:r>
        <w:t xml:space="preserve"> </w:t>
      </w:r>
      <w:r>
        <w:t xml:space="preserve">— discovery, audits, classifications, plans, closure records, diffs. They read captured or live-read inputs and change nothing.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State-changing functions are gated.</w:t>
      </w:r>
      <w:r>
        <w:t xml:space="preserve"> </w:t>
      </w:r>
      <w:r>
        <w:t xml:space="preserve">They either declare</w:t>
      </w:r>
      <w:r>
        <w:t xml:space="preserve"> </w:t>
      </w:r>
      <w:r>
        <w:rPr>
          <w:rStyle w:val="VerbatimChar"/>
        </w:rPr>
        <w:t xml:space="preserve">SupportsShouldProcess</w:t>
      </w:r>
      <w:r>
        <w:t xml:space="preserve"> </w:t>
      </w:r>
      <w:r>
        <w:t xml:space="preserve">and default to a</w:t>
      </w:r>
      <w:r>
        <w:t xml:space="preserve"> </w:t>
      </w:r>
      <w:r>
        <w:rPr>
          <w:rStyle w:val="VerbatimChar"/>
        </w:rPr>
        <w:t xml:space="preserve">-WhatIf</w:t>
      </w:r>
      <w:r>
        <w:t xml:space="preserve">-style preview (e.g. </w:t>
      </w:r>
      <w:r>
        <w:rPr>
          <w:rStyle w:val="VerbatimChar"/>
        </w:rPr>
        <w:t xml:space="preserve">Invoke-FMPArcOnboarding</w:t>
      </w:r>
      <w:r>
        <w:t xml:space="preserve">), or they generate a reviewable script/plan and execute nothing (e.g. </w:t>
      </w:r>
      <w:r>
        <w:rPr>
          <w:rStyle w:val="VerbatimChar"/>
        </w:rPr>
        <w:t xml:space="preserve">New-FMPEntraLoginScript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New-FMPGroupLoginScript</w:t>
      </w:r>
      <w:r>
        <w:t xml:space="preserve">). The login/group emitters have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-Server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-Execute</w:t>
      </w:r>
      <w:r>
        <w:rPr>
          <w:b/>
          <w:bCs/>
        </w:rPr>
        <w:t xml:space="preserve"> </w:t>
      </w:r>
      <w:r>
        <w:rPr>
          <w:b/>
          <w:bCs/>
        </w:rPr>
        <w:t xml:space="preserve">surface at all</w:t>
      </w:r>
      <w:r>
        <w:t xml:space="preserve"> </w:t>
      </w:r>
      <w:r>
        <w:t xml:space="preserve">— they never open a SQL connection.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 secrets are embedded.</w:t>
      </w:r>
      <w:r>
        <w:t xml:space="preserve"> </w:t>
      </w:r>
      <w:r>
        <w:t xml:space="preserve">Tenant, subscription, cloud, endpoints, and credentials are all parameters; sovereign clouds (GCC-Moderate / Azure Government) resolve the cloud-correct audience and fail closed on an unknown cloud.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Production safety (GCC-Moderate / FedRAMP)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Anything that touches</w:t>
            </w:r>
            <w:r>
              <w:t xml:space="preserve"> </w:t>
            </w:r>
            <w:r>
              <w:rPr>
                <w:b/>
                <w:bCs/>
              </w:rPr>
              <w:t xml:space="preserve">service accounts, SQL logins, SPNs, GPOs, or the domain</w:t>
            </w:r>
            <w:r>
              <w:t xml:space="preserve"> </w:t>
            </w:r>
            <w:r>
              <w:t xml:space="preserve">changes a production security posture. Run discovery/audit first (it is safe), generate the plan or script, capture it, and route it through change control and security review before any enforcement. The discovery scripts are read-only; the remediation steps are not.</w:t>
            </w:r>
          </w:p>
          <w:p/>
        </w:tc>
      </w:tr>
    </w:tbl>
    <w:bookmarkEnd w:id="22"/>
    <w:bookmarkStart w:id="23" w:name="step-4-the-offline-snapshot-pattern"/>
    <w:p>
      <w:pPr>
        <w:pStyle w:val="Heading2"/>
      </w:pPr>
      <w:r>
        <w:t xml:space="preserve">Step 4 — The offline / snapshot pattern</w:t>
      </w:r>
    </w:p>
    <w:p>
      <w:pPr>
        <w:pStyle w:val="FirstParagraph"/>
      </w:pPr>
      <w:r>
        <w:t xml:space="preserve">Every function accepts captured input — a JSON/CSV snapshot of a live read — so the entire chain is exercisable and testable without touching a live estate. Capture once (the</w:t>
      </w:r>
      <w:r>
        <w:t xml:space="preserve"> </w:t>
      </w:r>
      <w:r>
        <w:rPr>
          <w:rStyle w:val="VerbatimChar"/>
        </w:rPr>
        <w:t xml:space="preserve">Spec*</w:t>
      </w:r>
      <w:r>
        <w:t xml:space="preserve"> </w:t>
      </w:r>
      <w:r>
        <w:t xml:space="preserve">audits,</w:t>
      </w:r>
      <w:r>
        <w:t xml:space="preserve"> </w:t>
      </w:r>
      <w:r>
        <w:rPr>
          <w:rStyle w:val="VerbatimChar"/>
        </w:rPr>
        <w:t xml:space="preserve">Export-FMP*</w:t>
      </w:r>
      <w:r>
        <w:t xml:space="preserve"> </w:t>
      </w:r>
      <w:r>
        <w:t xml:space="preserve">exports,</w:t>
      </w:r>
      <w:r>
        <w:t xml:space="preserve"> </w:t>
      </w:r>
      <w:r>
        <w:rPr>
          <w:rStyle w:val="VerbatimChar"/>
        </w:rPr>
        <w:t xml:space="preserve">azcmagent show -j</w:t>
      </w:r>
      <w:r>
        <w:t xml:space="preserve">, an IMDS token), then run the derivations against the captured files. This is also how the Pester suite validates the module fully offline.</w:t>
      </w:r>
    </w:p>
    <w:bookmarkEnd w:id="23"/>
    <w:bookmarkStart w:id="24" w:name="step-5-the-run-order"/>
    <w:p>
      <w:pPr>
        <w:pStyle w:val="Heading2"/>
      </w:pPr>
      <w:r>
        <w:t xml:space="preserve">Step 5 — The run order</w:t>
      </w:r>
    </w:p>
    <w:p>
      <w:pPr>
        <w:pStyle w:val="FirstParagraph"/>
      </w:pPr>
      <w:r>
        <w:t xml:space="preserve">The books chain; later books operate on the surviving set the earlier ones define: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Book 02</w:t>
      </w:r>
      <w:r>
        <w:t xml:space="preserve"> </w:t>
      </w:r>
      <w:r>
        <w:t xml:space="preserve">establishes the denominator and the retain / consolidate / retire</w:t>
      </w:r>
      <w:r>
        <w:t xml:space="preserve"> </w:t>
      </w:r>
      <w:r>
        <w:rPr>
          <w:b/>
          <w:bCs/>
        </w:rPr>
        <w:t xml:space="preserve">gate</w:t>
      </w:r>
      <w:r>
        <w:t xml:space="preserve"> </w:t>
      </w:r>
      <w:r>
        <w:t xml:space="preserve">— only retain instances and consolidation targets proceed.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Book 03</w:t>
      </w:r>
      <w:r>
        <w:t xml:space="preserve"> </w:t>
      </w:r>
      <w:r>
        <w:t xml:space="preserve">audits the surviving set’s authentication posture.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Book 04</w:t>
      </w:r>
      <w:r>
        <w:t xml:space="preserve"> </w:t>
      </w:r>
      <w:r>
        <w:t xml:space="preserve">gives each retain host an Arc managed identity;</w:t>
      </w:r>
      <w:r>
        <w:t xml:space="preserve"> </w:t>
      </w:r>
      <w:r>
        <w:rPr>
          <w:b/>
          <w:bCs/>
        </w:rPr>
        <w:t xml:space="preserve">Book 05</w:t>
      </w:r>
      <w:r>
        <w:t xml:space="preserve"> </w:t>
      </w:r>
      <w:r>
        <w:t xml:space="preserve">migrates its logins to Entra with a parallel-run window.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Book 06</w:t>
      </w:r>
      <w:r>
        <w:t xml:space="preserve"> </w:t>
      </w:r>
      <w:r>
        <w:t xml:space="preserve">eliminates the NTLM-generating patterns;</w:t>
      </w:r>
      <w:r>
        <w:t xml:space="preserve"> </w:t>
      </w:r>
      <w:r>
        <w:rPr>
          <w:b/>
          <w:bCs/>
        </w:rPr>
        <w:t xml:space="preserve">Book 07</w:t>
      </w:r>
      <w:r>
        <w:t xml:space="preserve"> </w:t>
      </w:r>
      <w:r>
        <w:t xml:space="preserve">transforms the group/access layer and the Conditional Access perimeter.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Book 08</w:t>
      </w:r>
      <w:r>
        <w:t xml:space="preserve"> </w:t>
      </w:r>
      <w:r>
        <w:t xml:space="preserve">removes the stored credential in the application chain — the last mile.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Book 09</w:t>
      </w:r>
      <w:r>
        <w:t xml:space="preserve"> </w:t>
      </w:r>
      <w:r>
        <w:t xml:space="preserve">proves and keeps the posture continuously;</w:t>
      </w:r>
      <w:r>
        <w:t xml:space="preserve"> </w:t>
      </w:r>
      <w:r>
        <w:rPr>
          <w:b/>
          <w:bCs/>
        </w:rPr>
        <w:t xml:space="preserve">Book 10</w:t>
      </w:r>
      <w:r>
        <w:t xml:space="preserve"> </w:t>
      </w:r>
      <w:r>
        <w:t xml:space="preserve">discovers and sequences the certificate/ADCS dependencies that must not be decommissioned out from under SQL.</w:t>
      </w:r>
    </w:p>
    <w:bookmarkEnd w:id="24"/>
    <w:bookmarkStart w:id="25" w:name="provenance"/>
    <w:p>
      <w:pPr>
        <w:pStyle w:val="Heading2"/>
      </w:pPr>
      <w:r>
        <w:t xml:space="preserve">Provenance</w:t>
      </w:r>
    </w:p>
    <w:p>
      <w:pPr>
        <w:pStyle w:val="FirstParagraph"/>
      </w:pPr>
      <w:r>
        <w:t xml:space="preserve">This companion introduces no new doctrine — it is the operational rendering of decisions already recorded in canon ([the directory modernization program Transformation #7; the program decision, the program decision, the program decision, the program decision). Each book traces to its canon source and to the specific</w:t>
      </w:r>
      <w:r>
        <w:t xml:space="preserve"> </w:t>
      </w:r>
      <w:r>
        <w:rPr>
          <w:rStyle w:val="VerbatimChar"/>
        </w:rPr>
        <w:t xml:space="preserve">Spec</w:t>
      </w:r>
      <w:r>
        <w:t xml:space="preserve">/function it documents.</w:t>
      </w:r>
    </w:p>
    <w:bookmarkEnd w:id="25"/>
    <w:bookmarkStart w:id="26" w:name="safety"/>
    <w:p>
      <w:pPr>
        <w:pStyle w:val="Heading2"/>
      </w:pPr>
      <w:r>
        <w:t xml:space="preserve">Safety</w:t>
      </w:r>
    </w:p>
    <w:p>
      <w:pPr>
        <w:pStyle w:val="FirstParagraph"/>
      </w:pPr>
      <w:r>
        <w:t xml:space="preserve">This book installs and orients; it runs nothing against a live estate. The first action against production identity is in Book 04 (Arc) and Book 05 (logins), and only on the retain / target set Book 02 defines.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Companion to narrative Book 01. Orientation for the toolchain in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tools/discovery/</w:t>
      </w:r>
      <w:r>
        <w:rPr>
          <w:i/>
          <w:iCs/>
        </w:rPr>
        <w:t xml:space="preserve"> </w:t>
      </w:r>
      <w:r>
        <w:rPr>
          <w:i/>
          <w:iCs/>
        </w:rPr>
        <w:t xml:space="preserve">and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tools/powershell/</w:t>
      </w:r>
      <w:r>
        <w:rPr>
          <w:i/>
          <w:iCs/>
        </w:rPr>
        <w:t xml:space="preserve"> </w:t>
      </w:r>
      <w:r>
        <w:rPr>
          <w:i/>
          <w:iCs/>
        </w:rPr>
        <w:t xml:space="preserve">(</w:t>
      </w:r>
      <w:r>
        <w:rPr>
          <w:rStyle w:val="VerbatimChar"/>
          <w:i/>
          <w:iCs/>
        </w:rPr>
        <w:t xml:space="preserve">FMPSqlServerMigration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FMPIdentityAssessment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FMPPlanGenerators</w:t>
      </w:r>
      <w:r>
        <w:rPr>
          <w:i/>
          <w:iCs/>
        </w:rPr>
        <w:t xml:space="preserve">). Canon: the directory modernization program Transformation #7; the program decision, the program decision, the program decision, the program decision.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2" Target="Book_01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Book_01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Book 01 — Prerequisites &amp; Using This Companion</dc:title>
  <dc:creator/>
  <dc:description>Where to start with the SQL Server Identity Transformation Implementation Companion. Documents the shipped toolchain (the tools/discovery Spec family and the FMPSqlServerMigration / FMPIdentityAssessment / FMPPlanGenerators PowerShell modules), the provenance-sealed evidence-envelope model every function emits, the read-only-vs-review-required safety model, the offline/snapshot testing pattern, and the run order that chains Books 02-10. Read this first; it changes nothing.</dc:description>
  <cp:keywords/>
  <dcterms:created xsi:type="dcterms:W3CDTF">2026-10-19T10:11:34Z</dcterms:created>
  <dcterms:modified xsi:type="dcterms:W3CDTF">2026-10-19T10:11:34Z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src/fmp/canon/the directory modernization program</vt:lpwstr>
  </property>
  <property fmtid="{D5CDD505-2E9C-101B-9397-08002B2CF9AE}" pid="5" name="doc-type">
    <vt:lpwstr>sql-server-implementation-book</vt:lpwstr>
  </property>
  <property fmtid="{D5CDD505-2E9C-101B-9397-08002B2CF9AE}" pid="6" name="family">
    <vt:lpwstr>sql-server-implementation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1</vt:lpwstr>
  </property>
  <property fmtid="{D5CDD505-2E9C-101B-9397-08002B2CF9AE}" pid="14" name="status">
    <vt:lpwstr>active</vt:lpwstr>
  </property>
  <property fmtid="{D5CDD505-2E9C-101B-9397-08002B2CF9AE}" pid="15" name="subtitle">
    <vt:lpwstr>The toolchain, the evidence model, the safety model, and the run order the rest of the books assume — the executable counterpart to the narrative’s conceptual opening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