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Implementation Book 03 — The Authentication Audit</w:t>
      </w:r>
    </w:p>
    <w:p>
      <w:pPr>
        <w:pStyle w:val="Subtitle"/>
      </w:pPr>
      <w:r>
        <w:t xml:space="preserve">Running Spec3-D1.8 Get-SQLServerAuthAudit and the discovery family that feeds it: parameters, output schema, and how to read migration readiness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7" w:name="Xdc771b65cc2b2e79455c29ab1fd7cb595344e8e"/>
    <w:p>
      <w:pPr>
        <w:pStyle w:val="Heading1"/>
      </w:pPr>
      <w:r>
        <w:t xml:space="preserve">Implementation Book 03 — The Authentication Audit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this book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2">
              <w:r>
                <w:rPr>
                  <w:rStyle w:val="Hyperlink"/>
                  <w:b/>
                  <w:bCs/>
                </w:rPr>
                <w:t xml:space="preserve">Book_03.docx</w:t>
              </w:r>
            </w:hyperlink>
            <w:r>
              <w:t xml:space="preserve"> </w:t>
            </w:r>
            <w:r>
              <w:t xml:space="preserve">— this entire book as a single Word document, images included. Regenerated on every site deploy.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the implementation companion to</w:t>
            </w:r>
            <w:r>
              <w:t xml:space="preserve"> </w:t>
            </w:r>
            <w:r>
              <w:rPr>
                <w:b/>
                <w:bCs/>
              </w:rPr>
              <w:t xml:space="preserve">narrative Book 03</w:t>
            </w:r>
            <w:r>
              <w:t xml:space="preserve">. The narrative explains</w:t>
            </w:r>
            <w:r>
              <w:t xml:space="preserve"> </w:t>
            </w:r>
            <w:r>
              <w:rPr>
                <w:i/>
                <w:iCs/>
              </w:rPr>
              <w:t xml:space="preserve">why</w:t>
            </w:r>
            <w:r>
              <w:t xml:space="preserve"> </w:t>
            </w:r>
            <w:r>
              <w:t xml:space="preserve">you audit before you migrate; this book is</w:t>
            </w:r>
            <w:r>
              <w:t xml:space="preserve"> </w:t>
            </w:r>
            <w:r>
              <w:rPr>
                <w:i/>
                <w:iCs/>
              </w:rPr>
              <w:t xml:space="preserve">how</w:t>
            </w:r>
            <w:r>
              <w:t xml:space="preserve"> </w:t>
            </w:r>
            <w:r>
              <w:t xml:space="preserve">— the actual scripts, their parameters, and their output. Everything here is</w:t>
            </w:r>
            <w:r>
              <w:t xml:space="preserve"> </w:t>
            </w:r>
            <w:r>
              <w:rPr>
                <w:b/>
                <w:bCs/>
              </w:rPr>
              <w:t xml:space="preserve">read-only</w:t>
            </w:r>
            <w:r>
              <w:t xml:space="preserve">: the audit changes nothing, so it is safe to run first and run often.</w:t>
            </w:r>
          </w:p>
          <w:p/>
        </w:tc>
      </w:tr>
    </w:tbl>
    <w:bookmarkStart w:id="16" w:name="start-here-the-audit-is-the-foundation"/>
    <w:p>
      <w:pPr>
        <w:pStyle w:val="Heading2"/>
      </w:pPr>
      <w:r>
        <w:t xml:space="preserve">Start here: the audit is the foundation</w:t>
      </w:r>
    </w:p>
    <w:p>
      <w:pPr>
        <w:pStyle w:val="FirstParagraph"/>
      </w:pPr>
      <w:r>
        <w:t xml:space="preserve">Every later step — consolidation, Arc enablement, login migration, NTLM elimination — depends on knowing what you actually have. The audit produces that inventory. Run it first, keep its output under version control, and re-run it after every change to measure progress.</w:t>
      </w:r>
    </w:p>
    <w:p>
      <w:pPr>
        <w:pStyle w:val="BodyText"/>
      </w:pPr>
      <w:r>
        <w:t xml:space="preserve">The scripts live in [</w:t>
      </w:r>
      <w:r>
        <w:rPr>
          <w:rStyle w:val="VerbatimChar"/>
        </w:rPr>
        <w:t xml:space="preserve">tools/discovery/</w:t>
      </w:r>
      <w:r>
        <w:t xml:space="preserve">] as the</w:t>
      </w:r>
      <w:r>
        <w:t xml:space="preserve"> </w:t>
      </w:r>
      <w:r>
        <w:rPr>
          <w:rStyle w:val="VerbatimChar"/>
        </w:rPr>
        <w:t xml:space="preserve">Spec*-D1.*</w:t>
      </w:r>
      <w:r>
        <w:t xml:space="preserve"> </w:t>
      </w:r>
      <w:r>
        <w:t xml:space="preserve">family (provenance: FMP_136 Spec 1 and Spec 3, Phase 1; aligned to the program decision). They are pure PowerShell, emit JSON + CSV, and require no write access to anything.</w:t>
      </w:r>
    </w:p>
    <w:bookmarkEnd w:id="16"/>
    <w:bookmarkStart w:id="22" w:name="X0c15dcdff9612a37549f95394f0f26450a92cfb"/>
    <w:p>
      <w:pPr>
        <w:pStyle w:val="Heading2"/>
      </w:pPr>
      <w:r>
        <w:t xml:space="preserve">The primary script —</w:t>
      </w:r>
      <w:r>
        <w:t xml:space="preserve"> </w:t>
      </w:r>
      <w:r>
        <w:rPr>
          <w:rStyle w:val="VerbatimChar"/>
        </w:rPr>
        <w:t xml:space="preserve">Spec3-D1.8-Get-SQLServerAuthAudit.ps1</w:t>
      </w:r>
    </w:p>
    <w:p>
      <w:pPr>
        <w:pStyle w:val="FirstParagraph"/>
      </w:pPr>
      <w:r>
        <w:t xml:space="preserve">Discovers SQL Server instances and audits their authentication configuration for Entra ID migration readiness.</w:t>
      </w:r>
    </w:p>
    <w:bookmarkStart w:id="17" w:name="prerequisites"/>
    <w:p>
      <w:pPr>
        <w:pStyle w:val="Heading3"/>
      </w:pPr>
      <w:r>
        <w:t xml:space="preserve">Prerequisites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ActiveDirectory</w:t>
      </w:r>
      <w:r>
        <w:t xml:space="preserve"> </w:t>
      </w:r>
      <w:r>
        <w:t xml:space="preserve">PowerShell module (RSAT) — for</w:t>
      </w:r>
      <w:r>
        <w:t xml:space="preserve"> </w:t>
      </w:r>
      <w:r>
        <w:rPr>
          <w:rStyle w:val="VerbatimChar"/>
        </w:rPr>
        <w:t xml:space="preserve">MSSQLSvc</w:t>
      </w:r>
      <w:r>
        <w:t xml:space="preserve"> </w:t>
      </w:r>
      <w:r>
        <w:t xml:space="preserve">SPN discovery.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SqlServer</w:t>
      </w:r>
      <w:r>
        <w:t xml:space="preserve"> </w:t>
      </w:r>
      <w:r>
        <w:t xml:space="preserve">PowerShell module —</w:t>
      </w:r>
      <w:r>
        <w:t xml:space="preserve"> </w:t>
      </w:r>
      <w:r>
        <w:rPr>
          <w:i/>
          <w:iCs/>
        </w:rPr>
        <w:t xml:space="preserve">optional</w:t>
      </w:r>
      <w:r>
        <w:t xml:space="preserve">, required only for the deep per-instance audit (</w:t>
      </w:r>
      <w:r>
        <w:rPr>
          <w:rStyle w:val="VerbatimChar"/>
        </w:rPr>
        <w:t xml:space="preserve">-QueryInstances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Remote registry access for instance enumeration.</w:t>
      </w:r>
    </w:p>
    <w:p>
      <w:pPr>
        <w:pStyle w:val="Compact"/>
        <w:numPr>
          <w:ilvl w:val="0"/>
          <w:numId w:val="1001"/>
        </w:numPr>
      </w:pPr>
      <w:r>
        <w:t xml:space="preserve">SQL Server permissions on each instance</w:t>
      </w:r>
      <w:r>
        <w:t xml:space="preserve"> </w:t>
      </w:r>
      <w:r>
        <w:rPr>
          <w:b/>
          <w:bCs/>
        </w:rPr>
        <w:t xml:space="preserve">only if</w:t>
      </w:r>
      <w:r>
        <w:t xml:space="preserve"> </w:t>
      </w:r>
      <w:r>
        <w:rPr>
          <w:rStyle w:val="VerbatimChar"/>
        </w:rPr>
        <w:t xml:space="preserve">-QueryInstances</w:t>
      </w:r>
      <w:r>
        <w:t xml:space="preserve"> </w:t>
      </w:r>
      <w:r>
        <w:t xml:space="preserve">is set (login/config inventory).</w:t>
      </w:r>
    </w:p>
    <w:bookmarkEnd w:id="17"/>
    <w:bookmarkStart w:id="18" w:name="parameters"/>
    <w:p>
      <w:pPr>
        <w:pStyle w:val="Heading3"/>
      </w:pPr>
      <w:r>
        <w:t xml:space="preserve">Parameters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Parameter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-OutputPath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.\output</w:t>
            </w:r>
          </w:p>
        </w:tc>
        <w:tc>
          <w:tcPr/>
          <w:p>
            <w:pPr>
              <w:pStyle w:val="Compact"/>
            </w:pPr>
            <w:r>
              <w:t xml:space="preserve">Directory for JSON + CSV output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-D5InputFile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Path to the</w:t>
            </w:r>
            <w:r>
              <w:t xml:space="preserve"> </w:t>
            </w:r>
            <w:r>
              <w:rPr>
                <w:b/>
                <w:bCs/>
              </w:rPr>
              <w:t xml:space="preserve">Spec1-D1.5</w:t>
            </w:r>
            <w:r>
              <w:t xml:space="preserve"> </w:t>
            </w:r>
            <w:r>
              <w:t xml:space="preserve">SPN-inventory JSON, to extract</w:t>
            </w:r>
            <w:r>
              <w:t xml:space="preserve"> </w:t>
            </w:r>
            <w:r>
              <w:rPr>
                <w:rStyle w:val="VerbatimChar"/>
              </w:rPr>
              <w:t xml:space="preserve">MSSQLSvc</w:t>
            </w:r>
            <w:r>
              <w:t xml:space="preserve"> </w:t>
            </w:r>
            <w:r>
              <w:t xml:space="preserve">SPNs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-D1InputFile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Path to the Spec3-D1.1 service-account scan JSON, for cross-reference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-TargetServers</w:t>
            </w:r>
          </w:p>
        </w:tc>
        <w:tc>
          <w:tcPr/>
          <w:p>
            <w:pPr>
              <w:pStyle w:val="Compact"/>
            </w:pPr>
            <w:r>
              <w:t xml:space="preserve">string[]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Explicit server list to audit (otherwise auto-discovers)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-DomainController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Target a specific DC; auto-discovery if omitted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-SearchBase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Optional AD search base (DN)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-TestConnectivity</w:t>
            </w:r>
          </w:p>
        </w:tc>
        <w:tc>
          <w:tcPr/>
          <w:p>
            <w:pPr>
              <w:pStyle w:val="Compact"/>
            </w:pPr>
            <w:r>
              <w:t xml:space="preserve">switch</w:t>
            </w:r>
          </w:p>
        </w:tc>
        <w:tc>
          <w:tcPr/>
          <w:p>
            <w:pPr>
              <w:pStyle w:val="Compact"/>
            </w:pPr>
            <w:r>
              <w:t xml:space="preserve">off</w:t>
            </w:r>
          </w:p>
        </w:tc>
        <w:tc>
          <w:tcPr/>
          <w:p>
            <w:pPr>
              <w:pStyle w:val="Compact"/>
            </w:pPr>
            <w:r>
              <w:t xml:space="preserve">Attempt a TCP connection to each discovered instance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-QueryInstances</w:t>
            </w:r>
          </w:p>
        </w:tc>
        <w:tc>
          <w:tcPr/>
          <w:p>
            <w:pPr>
              <w:pStyle w:val="Compact"/>
            </w:pPr>
            <w:r>
              <w:t xml:space="preserve">switch</w:t>
            </w:r>
          </w:p>
        </w:tc>
        <w:tc>
          <w:tcPr/>
          <w:p>
            <w:pPr>
              <w:pStyle w:val="Compact"/>
            </w:pPr>
            <w:r>
              <w:t xml:space="preserve">off</w:t>
            </w:r>
          </w:p>
        </w:tc>
        <w:tc>
          <w:tcPr/>
          <w:p>
            <w:pPr>
              <w:pStyle w:val="Compact"/>
            </w:pPr>
            <w:r>
              <w:t xml:space="preserve">Connect to each instance via SqlClient to audit logins + config (</w:t>
            </w:r>
            <w:r>
              <w:rPr>
                <w:b/>
                <w:bCs/>
              </w:rPr>
              <w:t xml:space="preserve">requires SQL permissions</w:t>
            </w:r>
            <w:r>
              <w:t xml:space="preserve">)</w:t>
            </w:r>
          </w:p>
        </w:tc>
      </w:tr>
    </w:tbl>
    <w:bookmarkEnd w:id="18"/>
    <w:bookmarkStart w:id="19" w:name="usage"/>
    <w:p>
      <w:pPr>
        <w:pStyle w:val="Heading3"/>
      </w:pPr>
      <w:r>
        <w:t xml:space="preserve">Usage</w:t>
      </w:r>
    </w:p>
    <w:p>
      <w:pPr>
        <w:pStyle w:val="SourceCode"/>
      </w:pPr>
      <w:r>
        <w:rPr>
          <w:rStyle w:val="CommentTok"/>
        </w:rPr>
        <w:t xml:space="preserve"># 1. Discovery-only (SPN + service-account, no SQL connection) — safest first pass</w:t>
      </w:r>
      <w:r>
        <w:br/>
      </w:r>
      <w:r>
        <w:rPr>
          <w:rStyle w:val="OperatorTok"/>
        </w:rPr>
        <w:t xml:space="preserve">./</w:t>
      </w:r>
      <w:r>
        <w:rPr>
          <w:rStyle w:val="NormalTok"/>
        </w:rPr>
        <w:t xml:space="preserve">Spec3-D1</w:t>
      </w:r>
      <w:r>
        <w:rPr>
          <w:rStyle w:val="OperatorTok"/>
        </w:rPr>
        <w:t xml:space="preserve">.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Get-SQLServerAuthAudit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OutputPath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</w:t>
      </w:r>
      <w:r>
        <w:br/>
      </w:r>
      <w:r>
        <w:br/>
      </w:r>
      <w:r>
        <w:rPr>
          <w:rStyle w:val="CommentTok"/>
        </w:rPr>
        <w:t xml:space="preserve"># 2. Cross-referenced with the SPN inventory (run Spec1-D1.5 first)</w:t>
      </w:r>
      <w:r>
        <w:br/>
      </w:r>
      <w:r>
        <w:rPr>
          <w:rStyle w:val="OperatorTok"/>
        </w:rPr>
        <w:t xml:space="preserve">./</w:t>
      </w:r>
      <w:r>
        <w:rPr>
          <w:rStyle w:val="NormalTok"/>
        </w:rPr>
        <w:t xml:space="preserve">Spec3-D1</w:t>
      </w:r>
      <w:r>
        <w:rPr>
          <w:rStyle w:val="OperatorTok"/>
        </w:rPr>
        <w:t xml:space="preserve">.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Get-SQLServerAuthAudit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D5InputFile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\output\Spec1-D1</w:t>
      </w:r>
      <w:r>
        <w:rPr>
          <w:rStyle w:val="OperatorTok"/>
        </w:rPr>
        <w:t xml:space="preserve">.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KerberosSPNInventory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json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OutputPath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</w:t>
      </w:r>
      <w:r>
        <w:br/>
      </w:r>
      <w:r>
        <w:br/>
      </w:r>
      <w:r>
        <w:rPr>
          <w:rStyle w:val="CommentTok"/>
        </w:rPr>
        <w:t xml:space="preserve"># 3. Deep audit — connects to each instance for login + config inventory</w:t>
      </w:r>
      <w:r>
        <w:br/>
      </w:r>
      <w:r>
        <w:rPr>
          <w:rStyle w:val="OperatorTok"/>
        </w:rPr>
        <w:t xml:space="preserve">./</w:t>
      </w:r>
      <w:r>
        <w:rPr>
          <w:rStyle w:val="NormalTok"/>
        </w:rPr>
        <w:t xml:space="preserve">Spec3-D1</w:t>
      </w:r>
      <w:r>
        <w:rPr>
          <w:rStyle w:val="OperatorTok"/>
        </w:rPr>
        <w:t xml:space="preserve">.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Get-SQLServerAuthAudit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QueryInstances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TestConnectivity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OutputPath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</w:t>
      </w:r>
    </w:p>
    <w:bookmarkEnd w:id="19"/>
    <w:bookmarkStart w:id="20" w:name="output-schema"/>
    <w:p>
      <w:pPr>
        <w:pStyle w:val="Heading3"/>
      </w:pPr>
      <w:r>
        <w:t xml:space="preserve">Output schema</w:t>
      </w:r>
    </w:p>
    <w:p>
      <w:pPr>
        <w:pStyle w:val="FirstParagraph"/>
      </w:pPr>
      <w:r>
        <w:t xml:space="preserve">Three artifacts under</w:t>
      </w:r>
      <w:r>
        <w:t xml:space="preserve"> </w:t>
      </w:r>
      <w:r>
        <w:rPr>
          <w:rStyle w:val="VerbatimChar"/>
        </w:rPr>
        <w:t xml:space="preserve">-OutputPath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b/>
          <w:bCs/>
        </w:rPr>
        <w:t xml:space="preserve">*_SQLServerAuthAudit.json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{ Metadata, Summary, InstanceAudits[] }</w:t>
      </w:r>
      <w:r>
        <w:t xml:space="preserve">. Each</w:t>
      </w:r>
      <w:r>
        <w:t xml:space="preserve"> </w:t>
      </w:r>
      <w:r>
        <w:rPr>
          <w:rStyle w:val="VerbatimChar"/>
        </w:rPr>
        <w:t xml:space="preserve">InstanceAudits</w:t>
      </w:r>
      <w:r>
        <w:t xml:space="preserve"> </w:t>
      </w:r>
      <w:r>
        <w:t xml:space="preserve">entry carries:</w:t>
      </w:r>
      <w:r>
        <w:t xml:space="preserve"> </w:t>
      </w:r>
      <w:r>
        <w:rPr>
          <w:rStyle w:val="VerbatimChar"/>
        </w:rPr>
        <w:t xml:space="preserve">ServerName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InstanceName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DiscoveryMethod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SPNRegistration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ServiceAccountName</w:t>
      </w:r>
      <w:r>
        <w:t xml:space="preserve">, the</w:t>
      </w:r>
      <w:r>
        <w:t xml:space="preserve"> </w:t>
      </w:r>
      <w:r>
        <w:rPr>
          <w:rStyle w:val="VerbatimChar"/>
        </w:rPr>
        <w:t xml:space="preserve">SQL*Account</w:t>
      </w:r>
      <w:r>
        <w:t xml:space="preserve"> </w:t>
      </w:r>
      <w:r>
        <w:t xml:space="preserve">service identities,</w:t>
      </w:r>
      <w:r>
        <w:t xml:space="preserve"> </w:t>
      </w:r>
      <w:r>
        <w:rPr>
          <w:rStyle w:val="VerbatimChar"/>
        </w:rPr>
        <w:t xml:space="preserve">AuthenticationMode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SQLVersion</w:t>
      </w:r>
      <w:r>
        <w:t xml:space="preserve">/</w:t>
      </w:r>
      <w:r>
        <w:rPr>
          <w:rStyle w:val="VerbatimChar"/>
        </w:rPr>
        <w:t xml:space="preserve">SQLVersionMajor</w:t>
      </w:r>
      <w:r>
        <w:t xml:space="preserve">/</w:t>
      </w:r>
      <w:r>
        <w:rPr>
          <w:rStyle w:val="VerbatimChar"/>
        </w:rPr>
        <w:t xml:space="preserve">SQLEdition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TCPReachable</w:t>
      </w:r>
      <w:r>
        <w:t xml:space="preserve">,</w:t>
      </w:r>
      <w:r>
        <w:t xml:space="preserve"> </w:t>
      </w:r>
      <w:r>
        <w:rPr>
          <w:rStyle w:val="VerbatimChar"/>
          <w:b/>
          <w:bCs/>
        </w:rPr>
        <w:t xml:space="preserve">EntraIDReady</w:t>
      </w:r>
      <w:r>
        <w:t xml:space="preserve">,</w:t>
      </w:r>
      <w:r>
        <w:t xml:space="preserve"> </w:t>
      </w:r>
      <w:r>
        <w:rPr>
          <w:rStyle w:val="VerbatimChar"/>
          <w:b/>
          <w:bCs/>
        </w:rPr>
        <w:t xml:space="preserve">EntraIDBlockers[]</w:t>
      </w:r>
      <w:r>
        <w:t xml:space="preserve">,</w:t>
      </w:r>
      <w:r>
        <w:t xml:space="preserve"> </w:t>
      </w:r>
      <w:r>
        <w:rPr>
          <w:rStyle w:val="VerbatimChar"/>
        </w:rPr>
        <w:t xml:space="preserve">MigrationTarget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MigrationComplexity</w:t>
      </w:r>
      <w:r>
        <w:t xml:space="preserve">, and the</w:t>
      </w:r>
      <w:r>
        <w:t xml:space="preserve"> </w:t>
      </w:r>
      <w:r>
        <w:rPr>
          <w:rStyle w:val="VerbatimChar"/>
        </w:rPr>
        <w:t xml:space="preserve">SQLLogins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WindowsLogins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OrphanedLogins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LinkedServers</w:t>
      </w:r>
      <w:r>
        <w:t xml:space="preserve"> </w:t>
      </w:r>
      <w:r>
        <w:t xml:space="preserve">arrays.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b/>
          <w:bCs/>
        </w:rPr>
        <w:t xml:space="preserve">*_instances.csv</w:t>
      </w:r>
      <w:r>
        <w:t xml:space="preserve"> </w:t>
      </w:r>
      <w:r>
        <w:t xml:space="preserve">— flattened per-instance inventory (auth mode, service accounts, login counts, orphaned logins, linked servers, readiness).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b/>
          <w:bCs/>
        </w:rPr>
        <w:t xml:space="preserve">*_logins.csv</w:t>
      </w:r>
      <w:r>
        <w:t xml:space="preserve"> </w:t>
      </w:r>
      <w:r>
        <w:t xml:space="preserve">— per-login detail:</w:t>
      </w:r>
      <w:r>
        <w:t xml:space="preserve"> </w:t>
      </w:r>
      <w:r>
        <w:rPr>
          <w:rStyle w:val="VerbatimChar"/>
        </w:rPr>
        <w:t xml:space="preserve">LoginName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 the</w:t>
      </w:r>
      <w:r>
        <w:t xml:space="preserve"> </w:t>
      </w:r>
      <w:r>
        <w:rPr>
          <w:rStyle w:val="VerbatimChar"/>
        </w:rPr>
        <w:t xml:space="preserve">sa</w:t>
      </w:r>
      <w:r>
        <w:t xml:space="preserve"> </w:t>
      </w:r>
      <w:r>
        <w:t xml:space="preserve">flag,</w:t>
      </w:r>
      <w:r>
        <w:t xml:space="preserve"> </w:t>
      </w:r>
      <w:r>
        <w:rPr>
          <w:rStyle w:val="VerbatimChar"/>
        </w:rPr>
        <w:t xml:space="preserve">PasswordLastSet</w:t>
      </w:r>
      <w:r>
        <w:t xml:space="preserve">.</w:t>
      </w:r>
    </w:p>
    <w:bookmarkEnd w:id="20"/>
    <w:bookmarkStart w:id="21" w:name="reading-the-result-migration-readiness"/>
    <w:p>
      <w:pPr>
        <w:pStyle w:val="Heading3"/>
      </w:pPr>
      <w:r>
        <w:t xml:space="preserve">Reading the result: migration readiness</w:t>
      </w:r>
    </w:p>
    <w:p>
      <w:pPr>
        <w:pStyle w:val="FirstParagraph"/>
      </w:pPr>
      <w:r>
        <w:t xml:space="preserve">The script computes</w:t>
      </w:r>
      <w:r>
        <w:t xml:space="preserve"> </w:t>
      </w:r>
      <w:r>
        <w:rPr>
          <w:rStyle w:val="VerbatimChar"/>
        </w:rPr>
        <w:t xml:space="preserve">MigrationTarget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EntraIDBlockers</w:t>
      </w:r>
      <w:r>
        <w:t xml:space="preserve"> </w:t>
      </w:r>
      <w:r>
        <w:t xml:space="preserve">for you: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SQL 2022+ (v16+)</w:t>
      </w:r>
      <w:r>
        <w:t xml:space="preserve"> </w:t>
      </w:r>
      <w:r>
        <w:t xml:space="preserve">→</w:t>
      </w:r>
      <w:r>
        <w:t xml:space="preserve"> </w:t>
      </w:r>
      <w:r>
        <w:rPr>
          <w:i/>
          <w:iCs/>
        </w:rPr>
        <w:t xml:space="preserve">“Enable Entra ID auth via Azure Arc (the program decision)”</w:t>
      </w:r>
      <w:r>
        <w:t xml:space="preserve"> </w:t>
      </w:r>
      <w:r>
        <w:t xml:space="preserve">— ready once Arc-enrolled (Book 04).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SQL 2019 and earlier</w:t>
      </w:r>
      <w:r>
        <w:t xml:space="preserve"> </w:t>
      </w:r>
      <w:r>
        <w:t xml:space="preserve">→</w:t>
      </w:r>
      <w:r>
        <w:t xml:space="preserve"> </w:t>
      </w:r>
      <w:r>
        <w:rPr>
          <w:i/>
          <w:iCs/>
        </w:rPr>
        <w:t xml:space="preserve">“Upgrade to SQL 2022 + Arc, then Entra ID auth”</w:t>
      </w:r>
      <w:r>
        <w:t xml:space="preserve"> </w:t>
      </w:r>
      <w:r>
        <w:t xml:space="preserve">— version is the gate (narrative Book 03 Category 3).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Blockers</w:t>
      </w:r>
      <w:r>
        <w:t xml:space="preserve"> </w:t>
      </w:r>
      <w:r>
        <w:t xml:space="preserve">flagged in</w:t>
      </w:r>
      <w:r>
        <w:t xml:space="preserve"> </w:t>
      </w:r>
      <w:r>
        <w:rPr>
          <w:rStyle w:val="VerbatimChar"/>
        </w:rPr>
        <w:t xml:space="preserve">EntraIDBlockers</w:t>
      </w:r>
      <w:r>
        <w:t xml:space="preserve">: mixed-mode authentication, an</w:t>
      </w:r>
      <w:r>
        <w:t xml:space="preserve"> </w:t>
      </w:r>
      <w:r>
        <w:rPr>
          <w:b/>
          <w:bCs/>
        </w:rPr>
        <w:t xml:space="preserve">enabled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sa</w:t>
      </w:r>
      <w:r>
        <w:rPr>
          <w:b/>
          <w:bCs/>
        </w:rPr>
        <w:t xml:space="preserve"> </w:t>
      </w:r>
      <w:r>
        <w:rPr>
          <w:b/>
          <w:bCs/>
        </w:rPr>
        <w:t xml:space="preserve">account</w:t>
      </w:r>
      <w:r>
        <w:t xml:space="preserve">, orphaned logins, and linked servers. Each is a remediation item before cutover (logins → Book 05).</w:t>
      </w:r>
    </w:p>
    <w:bookmarkEnd w:id="21"/>
    <w:bookmarkEnd w:id="22"/>
    <w:bookmarkStart w:id="23" w:name="the-supporting-discovery-family"/>
    <w:p>
      <w:pPr>
        <w:pStyle w:val="Heading2"/>
      </w:pPr>
      <w:r>
        <w:t xml:space="preserve">The supporting discovery family</w:t>
      </w:r>
    </w:p>
    <w:p>
      <w:pPr>
        <w:pStyle w:val="FirstParagraph"/>
      </w:pPr>
      <w:r>
        <w:rPr>
          <w:rStyle w:val="VerbatimChar"/>
        </w:rPr>
        <w:t xml:space="preserve">Get-SQLServerAuthAudit</w:t>
      </w:r>
      <w:r>
        <w:t xml:space="preserve"> </w:t>
      </w:r>
      <w:r>
        <w:t xml:space="preserve">is most useful when fed by, and cross-referenced against, the rest of the Spec family. These are the ones that matter for SQL: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Script</w:t>
            </w:r>
          </w:p>
        </w:tc>
        <w:tc>
          <w:tcPr/>
          <w:p>
            <w:pPr>
              <w:pStyle w:val="Compact"/>
            </w:pPr>
            <w: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What it gives you</w:t>
            </w:r>
          </w:p>
        </w:tc>
        <w:tc>
          <w:tcPr/>
          <w:p>
            <w:pPr>
              <w:pStyle w:val="Compact"/>
            </w:pPr>
            <w:r>
              <w:t xml:space="preserve">Used by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Spec1-D1.5-Get-KerberosSPNInventory.ps1</w:t>
            </w:r>
          </w:p>
        </w:tc>
        <w:tc>
          <w:tcPr/>
          <w:p>
            <w:pPr>
              <w:pStyle w:val="Compact"/>
            </w:pPr>
            <w:r>
              <w:t xml:space="preserve">D1.5</w:t>
            </w:r>
          </w:p>
        </w:tc>
        <w:tc>
          <w:tcPr/>
          <w:p>
            <w:pPr>
              <w:pStyle w:val="Compact"/>
            </w:pPr>
            <w:r>
              <w:t xml:space="preserve">Every</w:t>
            </w:r>
            <w:r>
              <w:t xml:space="preserve"> </w:t>
            </w:r>
            <w:r>
              <w:rPr>
                <w:rStyle w:val="VerbatimChar"/>
              </w:rPr>
              <w:t xml:space="preserve">MSSQLSvc</w:t>
            </w:r>
            <w:r>
              <w:t xml:space="preserve"> </w:t>
            </w:r>
            <w:r>
              <w:t xml:space="preserve">SPN, duplicates, orphans, per-service-class migration target</w:t>
            </w:r>
          </w:p>
        </w:tc>
        <w:tc>
          <w:tcPr/>
          <w:p>
            <w:pPr>
              <w:pStyle w:val="Compact"/>
            </w:pPr>
            <w:r>
              <w:t xml:space="preserve">feeds D1.8 (</w:t>
            </w:r>
            <w:r>
              <w:rPr>
                <w:rStyle w:val="VerbatimChar"/>
              </w:rPr>
              <w:t xml:space="preserve">-D5InputFile</w:t>
            </w:r>
            <w:r>
              <w:t xml:space="preserve">) and Book 06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Spec3-D1.7-Get-SPNCollisionReport.ps1</w:t>
            </w:r>
          </w:p>
        </w:tc>
        <w:tc>
          <w:tcPr/>
          <w:p>
            <w:pPr>
              <w:pStyle w:val="Compact"/>
            </w:pPr>
            <w:r>
              <w:t xml:space="preserve">D1.7</w:t>
            </w:r>
          </w:p>
        </w:tc>
        <w:tc>
          <w:tcPr/>
          <w:p>
            <w:pPr>
              <w:pStyle w:val="Compact"/>
            </w:pPr>
            <w:r>
              <w:t xml:space="preserve">SPN collisions that break Kerberos (→ NTLM fallback)</w:t>
            </w:r>
          </w:p>
        </w:tc>
        <w:tc>
          <w:tcPr/>
          <w:p>
            <w:pPr>
              <w:pStyle w:val="Compact"/>
            </w:pPr>
            <w:r>
              <w:t xml:space="preserve">Book 06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Spec1-D1.4-Get-AuthenticationProtocolAudit.ps1</w:t>
            </w:r>
          </w:p>
        </w:tc>
        <w:tc>
          <w:tcPr/>
          <w:p>
            <w:pPr>
              <w:pStyle w:val="Compact"/>
            </w:pPr>
            <w:r>
              <w:t xml:space="preserve">D1.4</w:t>
            </w:r>
          </w:p>
        </w:tc>
        <w:tc>
          <w:tcPr/>
          <w:p>
            <w:pPr>
              <w:pStyle w:val="Compact"/>
            </w:pPr>
            <w:r>
              <w:t xml:space="preserve">Delegation (unconstrained/KCD/RBCD) + NTLM dependency indicators</w:t>
            </w:r>
          </w:p>
        </w:tc>
        <w:tc>
          <w:tcPr/>
          <w:p>
            <w:pPr>
              <w:pStyle w:val="Compact"/>
            </w:pPr>
            <w:r>
              <w:t xml:space="preserve">Book 06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Spec3-D1.10-Get-CertBasedAuthAudit.ps1</w:t>
            </w:r>
          </w:p>
        </w:tc>
        <w:tc>
          <w:tcPr/>
          <w:p>
            <w:pPr>
              <w:pStyle w:val="Compact"/>
            </w:pPr>
            <w:r>
              <w:t xml:space="preserve">D1.10</w:t>
            </w:r>
          </w:p>
        </w:tc>
        <w:tc>
          <w:tcPr/>
          <w:p>
            <w:pPr>
              <w:pStyle w:val="Compact"/>
            </w:pPr>
            <w:r>
              <w:t xml:space="preserve">Certificate-mapped logins / smart-card auth touching SQL (narrative Book 10)</w:t>
            </w:r>
          </w:p>
        </w:tc>
        <w:tc>
          <w:tcPr/>
          <w:p>
            <w:pPr>
              <w:pStyle w:val="Compact"/>
            </w:pPr>
            <w:r>
              <w:t xml:space="preserve">Book 10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Spec3-D1.12-New-ServiceAccountOwnerMatrix.ps1</w:t>
            </w:r>
          </w:p>
        </w:tc>
        <w:tc>
          <w:tcPr/>
          <w:p>
            <w:pPr>
              <w:pStyle w:val="Compact"/>
            </w:pPr>
            <w:r>
              <w:t xml:space="preserve">D1.12</w:t>
            </w:r>
          </w:p>
        </w:tc>
        <w:tc>
          <w:tcPr/>
          <w:p>
            <w:pPr>
              <w:pStyle w:val="Compact"/>
            </w:pPr>
            <w:r>
              <w:t xml:space="preserve">Owner-to-service-account matrix + migration waves (capstone)</w:t>
            </w:r>
          </w:p>
        </w:tc>
        <w:tc>
          <w:tcPr/>
          <w:p>
            <w:pPr>
              <w:pStyle w:val="Compact"/>
            </w:pPr>
            <w:r>
              <w:t xml:space="preserve">program planning</w:t>
            </w:r>
          </w:p>
        </w:tc>
      </w:tr>
    </w:tbl>
    <w:p>
      <w:pPr>
        <w:pStyle w:val="BodyText"/>
      </w:pPr>
      <w:r>
        <w:t xml:space="preserve">Run order for the SQL slice:</w:t>
      </w:r>
      <w:r>
        <w:t xml:space="preserve"> </w:t>
      </w:r>
      <w:r>
        <w:rPr>
          <w:b/>
          <w:bCs/>
        </w:rPr>
        <w:t xml:space="preserve">D1.5 → D1.7 → D1.8</w:t>
      </w:r>
      <w:r>
        <w:t xml:space="preserve"> </w:t>
      </w:r>
      <w:r>
        <w:t xml:space="preserve">(pass the D1.5 JSON into both D1.7 and D1.8 via</w:t>
      </w:r>
      <w:r>
        <w:t xml:space="preserve"> </w:t>
      </w:r>
      <w:r>
        <w:rPr>
          <w:rStyle w:val="VerbatimChar"/>
        </w:rPr>
        <w:t xml:space="preserve">-D5InputFile</w:t>
      </w:r>
      <w:r>
        <w:t xml:space="preserve">), then</w:t>
      </w:r>
      <w:r>
        <w:t xml:space="preserve"> </w:t>
      </w:r>
      <w:r>
        <w:rPr>
          <w:rStyle w:val="VerbatimChar"/>
        </w:rPr>
        <w:t xml:space="preserve">D1.12</w:t>
      </w:r>
      <w:r>
        <w:t xml:space="preserve"> </w:t>
      </w:r>
      <w:r>
        <w:t xml:space="preserve">to assign owners and waves across everything.</w:t>
      </w:r>
    </w:p>
    <w:bookmarkEnd w:id="23"/>
    <w:bookmarkStart w:id="24" w:name="failure-modes"/>
    <w:p>
      <w:pPr>
        <w:pStyle w:val="Heading2"/>
      </w:pPr>
      <w:r>
        <w:t xml:space="preserve">Failure modes</w:t>
      </w:r>
    </w:p>
    <w:p>
      <w:pPr>
        <w:pStyle w:val="FirstParagraph"/>
      </w:pPr>
      <w:r>
        <w:t xml:space="preserve">The script degrades rather than crashing — know what each state means: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ActiveDirectory module absent</w:t>
      </w:r>
      <w:r>
        <w:t xml:space="preserve"> </w:t>
      </w:r>
      <w:r>
        <w:t xml:space="preserve">→ SPN discovery is skipped (instances still found via registry/</w:t>
      </w:r>
      <w:r>
        <w:rPr>
          <w:rStyle w:val="VerbatimChar"/>
        </w:rPr>
        <w:t xml:space="preserve">-TargetServers</w:t>
      </w:r>
      <w:r>
        <w:t xml:space="preserve">); install RSAT for full coverage.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DC unreachable</w:t>
      </w:r>
      <w:r>
        <w:t xml:space="preserve"> </w:t>
      </w:r>
      <w:r>
        <w:t xml:space="preserve">→ SPN cross-reference is empty; pass</w:t>
      </w:r>
      <w:r>
        <w:t xml:space="preserve"> </w:t>
      </w:r>
      <w:r>
        <w:rPr>
          <w:rStyle w:val="VerbatimChar"/>
        </w:rPr>
        <w:t xml:space="preserve">-DomainController</w:t>
      </w:r>
      <w:r>
        <w:t xml:space="preserve"> </w:t>
      </w:r>
      <w:r>
        <w:t xml:space="preserve">to target a reachable one.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SQL connection fails</w:t>
      </w:r>
      <w:r>
        <w:t xml:space="preserve"> </w:t>
      </w:r>
      <w:r>
        <w:t xml:space="preserve">under</w:t>
      </w:r>
      <w:r>
        <w:t xml:space="preserve"> </w:t>
      </w:r>
      <w:r>
        <w:rPr>
          <w:rStyle w:val="VerbatimChar"/>
        </w:rPr>
        <w:t xml:space="preserve">-QueryInstances</w:t>
      </w:r>
      <w:r>
        <w:t xml:space="preserve"> </w:t>
      </w:r>
      <w:r>
        <w:t xml:space="preserve">→ that instance is recorded as</w:t>
      </w:r>
      <w:r>
        <w:t xml:space="preserve"> </w:t>
      </w:r>
      <w:r>
        <w:rPr>
          <w:b/>
          <w:bCs/>
        </w:rPr>
        <w:t xml:space="preserve">“Query Failed”</w:t>
      </w:r>
      <w:r>
        <w:t xml:space="preserve"> </w:t>
      </w:r>
      <w:r>
        <w:t xml:space="preserve">(login inventory blank) rather than aborting the run; check SQL permissions and firewall.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TCP timeout</w:t>
      </w:r>
      <w:r>
        <w:t xml:space="preserve"> </w:t>
      </w:r>
      <w:r>
        <w:t xml:space="preserve">under</w:t>
      </w:r>
      <w:r>
        <w:t xml:space="preserve"> </w:t>
      </w:r>
      <w:r>
        <w:rPr>
          <w:rStyle w:val="VerbatimChar"/>
        </w:rPr>
        <w:t xml:space="preserve">-TestConnectivity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TCPReachable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(3-second budget) vs</w:t>
      </w:r>
      <w:r>
        <w:t xml:space="preserve"> </w:t>
      </w:r>
      <w:r>
        <w:rPr>
          <w:rStyle w:val="VerbatimChar"/>
        </w:rPr>
        <w:t xml:space="preserve">Yes</w:t>
      </w:r>
      <w:r>
        <w:t xml:space="preserve">/</w:t>
      </w:r>
      <w:r>
        <w:rPr>
          <w:rStyle w:val="VerbatimChar"/>
        </w:rPr>
        <w:t xml:space="preserve">No</w:t>
      </w:r>
      <w:r>
        <w:t xml:space="preserve">.</w:t>
      </w:r>
    </w:p>
    <w:bookmarkEnd w:id="24"/>
    <w:bookmarkStart w:id="25" w:name="feeding-ccm-bir-closure"/>
    <w:p>
      <w:pPr>
        <w:pStyle w:val="Heading2"/>
      </w:pPr>
      <w:r>
        <w:t xml:space="preserve">Feeding CCM-BIR closure</w:t>
      </w:r>
    </w:p>
    <w:p>
      <w:pPr>
        <w:pStyle w:val="FirstParagraph"/>
      </w:pPr>
      <w:r>
        <w:t xml:space="preserve">The audit JSON is the raw input for the continuous-monitoring evidence the narrative’s Book 09 describes: re-running it on a schedule turns</w:t>
      </w:r>
      <w:r>
        <w:t xml:space="preserve"> </w:t>
      </w:r>
      <w:r>
        <w:t xml:space="preserve">“did we eliminate NTLM / mixed mode / the</w:t>
      </w:r>
      <w:r>
        <w:t xml:space="preserve"> </w:t>
      </w:r>
      <w:r>
        <w:rPr>
          <w:rStyle w:val="VerbatimChar"/>
        </w:rPr>
        <w:t xml:space="preserve">sa</w:t>
      </w:r>
      <w:r>
        <w:t xml:space="preserve"> </w:t>
      </w:r>
      <w:r>
        <w:t xml:space="preserve">account”</w:t>
      </w:r>
      <w:r>
        <w:t xml:space="preserve"> </w:t>
      </w:r>
      <w:r>
        <w:t xml:space="preserve">into a live, diffable artifact rather than a one-time claim. Wire the JSON into your CCM-BIR ingestion the same way the discovery pipeline feeds D2.1/D2.3.</w:t>
      </w:r>
    </w:p>
    <w:bookmarkEnd w:id="25"/>
    <w:bookmarkStart w:id="26" w:name="safety"/>
    <w:p>
      <w:pPr>
        <w:pStyle w:val="Heading2"/>
      </w:pPr>
      <w:r>
        <w:t xml:space="preserve">Safety</w:t>
      </w:r>
    </w:p>
    <w:p>
      <w:pPr>
        <w:pStyle w:val="FirstParagraph"/>
      </w:pPr>
      <w:r>
        <w:t xml:space="preserve">This entire book is read-only. The discovery-only invocation (example 1) touches no SQL instance at all;</w:t>
      </w:r>
      <w:r>
        <w:t xml:space="preserve"> </w:t>
      </w:r>
      <w:r>
        <w:rPr>
          <w:rStyle w:val="VerbatimChar"/>
        </w:rPr>
        <w:t xml:space="preserve">-QueryInstances</w:t>
      </w:r>
      <w:r>
        <w:t xml:space="preserve"> </w:t>
      </w:r>
      <w:r>
        <w:t xml:space="preserve">opens read-only inventory queries. Nothing here changes a production security posture — that begins in Book 04 (Arc) and Book 05 (logins).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Companion to narrative Book 03. Scripts: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tools/discovery/Spec3-D1.8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Spec1-D1.4/1.5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Spec3-D1.7/1.10/1.12</w:t>
      </w:r>
      <w:r>
        <w:rPr>
          <w:i/>
          <w:iCs/>
        </w:rPr>
        <w:t xml:space="preserve">. Canon: the directory modernization program §3.2, FMP_136 Spec 1/3, the program decision, the program decision.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hyperlink" Id="rId12" Target="Book_03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Book_03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Implementation Book 03 — The Authentication Audit</dc:title>
  <dc:creator/>
  <dc:description>The read-only foundation of the SQL Server transformation. Documents the real discovery scripts in tools/discovery — Get-SQLServerAuthAudit (Spec3-D1.8) plus the SPN inventory, SPN-collision, auth-protocol, and service-account-owner audits — with their parameters, prerequisites, output schemas, failure modes, and how to read Entra ID readiness from the results.</dc:description>
  <cp:keywords/>
  <dcterms:created xsi:type="dcterms:W3CDTF">2026-10-19T10:11:35Z</dcterms:created>
  <dcterms:modified xsi:type="dcterms:W3CDTF">2026-10-19T10:11:35Z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canon-source">
    <vt:lpwstr>src/fmp/canon/the directory modernization program</vt:lpwstr>
  </property>
  <property fmtid="{D5CDD505-2E9C-101B-9397-08002B2CF9AE}" pid="5" name="doc-type">
    <vt:lpwstr>sql-server-implementation-book</vt:lpwstr>
  </property>
  <property fmtid="{D5CDD505-2E9C-101B-9397-08002B2CF9AE}" pid="6" name="family">
    <vt:lpwstr>sql-server-implementation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lifecycle">
    <vt:lpwstr>active</vt:lpwstr>
  </property>
  <property fmtid="{D5CDD505-2E9C-101B-9397-08002B2CF9AE}" pid="12" name="lifecycle_review">
    <vt:lpwstr>2027-01-01</vt:lpwstr>
  </property>
  <property fmtid="{D5CDD505-2E9C-101B-9397-08002B2CF9AE}" pid="13" name="series-order">
    <vt:lpwstr>3</vt:lpwstr>
  </property>
  <property fmtid="{D5CDD505-2E9C-101B-9397-08002B2CF9AE}" pid="14" name="status">
    <vt:lpwstr>active</vt:lpwstr>
  </property>
  <property fmtid="{D5CDD505-2E9C-101B-9397-08002B2CF9AE}" pid="15" name="subtitle">
    <vt:lpwstr>Running Spec3-D1.8 Get-SQLServerAuthAudit and the discovery family that feeds it: parameters, output schema, and how to read migration readiness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