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05 — Login Migration &amp; Parallel-Run Validation</w:t>
      </w:r>
    </w:p>
    <w:p>
      <w:pPr>
        <w:pStyle w:val="Subtitle"/>
      </w:pPr>
      <w:r>
        <w:t xml:space="preserve">Turning the audited logins into Entra ID logins on SQL 2022+ via CREATE LOGIN FROM EXTERNAL PROVIDER, with a parallel-run harness and a 30-day observation window before cutover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Xbdf430f4017b2ea13d52ba4c0a01b4e4ec96206"/>
    <w:p>
      <w:pPr>
        <w:pStyle w:val="Heading1"/>
      </w:pPr>
      <w:r>
        <w:t xml:space="preserve">Implementation Book 05 — Login Migration &amp; Parallel-Run Validation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Book_05.docx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05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the program decision §1</w:t>
            </w:r>
            <w:r>
              <w:t xml:space="preserve"> </w:t>
            </w:r>
            <w:r>
              <w:t xml:space="preserve">(parallel-run, consolidation-gated). The narrative explains why migration is parallel-run rather than big-bang; this book is the T-SQL and the validation harness that make it safe. (the program decision, the directory modernization program §3.2)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Automation status + production safety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login-mapping and script-generation steps are now</w:t>
            </w:r>
            <w:r>
              <w:t xml:space="preserve"> </w:t>
            </w:r>
            <w:r>
              <w:rPr>
                <w:b/>
                <w:bCs/>
              </w:rPr>
              <w:t xml:space="preserve">shipped</w:t>
            </w:r>
            <w:r>
              <w:t xml:space="preserve"> </w:t>
            </w: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FMPSqlServerMigration</w:t>
            </w:r>
            <w:r>
              <w:t xml:space="preserve"> </w:t>
            </w:r>
            <w:r>
              <w:t xml:space="preserve">module (</w:t>
            </w:r>
            <w:r>
              <w:rPr>
                <w:rStyle w:val="VerbatimChar"/>
              </w:rPr>
              <w:t xml:space="preserve">tools/powershell/FMPSqlServerMigration/</w:t>
            </w:r>
            <w:r>
              <w:t xml:space="preserve">), and they are deliberately</w:t>
            </w:r>
            <w:r>
              <w:t xml:space="preserve"> </w:t>
            </w:r>
            <w:r>
              <w:rPr>
                <w:b/>
                <w:bCs/>
              </w:rPr>
              <w:t xml:space="preserve">non-executing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New-FMPEntraLoginMapping</w:t>
            </w:r>
            <w:r>
              <w:t xml:space="preserve"> </w:t>
            </w:r>
            <w:r>
              <w:t xml:space="preserve">derives the mapping and</w:t>
            </w:r>
            <w:r>
              <w:t xml:space="preserve"> </w:t>
            </w:r>
            <w:r>
              <w:rPr>
                <w:rStyle w:val="VerbatimChar"/>
              </w:rPr>
              <w:t xml:space="preserve">New-FMPEntraLoginScript</w:t>
            </w:r>
            <w:r>
              <w:t xml:space="preserve"> </w:t>
            </w:r>
            <w:r>
              <w:t xml:space="preserve">writes a reviewable</w:t>
            </w:r>
            <w:r>
              <w:t xml:space="preserve"> </w:t>
            </w:r>
            <w:r>
              <w:rPr>
                <w:rStyle w:val="VerbatimChar"/>
              </w:rPr>
              <w:t xml:space="preserve">.sql</w:t>
            </w:r>
            <w:r>
              <w:t xml:space="preserve"> </w:t>
            </w:r>
            <w:r>
              <w:t xml:space="preserve">file — neither opens a SQL connection. Because the generated T-SQL runs</w:t>
            </w:r>
            <w:r>
              <w:t xml:space="preserve"> </w:t>
            </w:r>
            <w:r>
              <w:rPr>
                <w:rStyle w:val="VerbatimChar"/>
              </w:rPr>
              <w:t xml:space="preserve">CREATE LOGIN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ALTER</w:t>
            </w:r>
            <w:r>
              <w:t xml:space="preserve"> </w:t>
            </w:r>
            <w:r>
              <w:t xml:space="preserve">against production instances, every step remains</w:t>
            </w:r>
            <w:r>
              <w:t xml:space="preserve"> </w:t>
            </w:r>
            <w:r>
              <w:rPr>
                <w:b/>
                <w:bCs/>
              </w:rPr>
              <w:t xml:space="preserve">review-required</w:t>
            </w:r>
            <w:r>
              <w:t xml:space="preserve">: generate statements in dry-run, review them, execute in a change window, and</w:t>
            </w:r>
            <w:r>
              <w:t xml:space="preserve"> </w:t>
            </w:r>
            <w:r>
              <w:rPr>
                <w:b/>
                <w:bCs/>
              </w:rPr>
              <w:t xml:space="preserve">never drop a Windows login until the Entra login is validated in parallel</w:t>
            </w:r>
            <w:r>
              <w:t xml:space="preserve"> </w:t>
            </w:r>
            <w:r>
              <w:t xml:space="preserve">(which</w:t>
            </w:r>
            <w:r>
              <w:t xml:space="preserve"> </w:t>
            </w:r>
            <w:r>
              <w:rPr>
                <w:rStyle w:val="VerbatimChar"/>
              </w:rPr>
              <w:t xml:space="preserve">Test-FMPLoginParallelRun</w:t>
            </w:r>
            <w:r>
              <w:t xml:space="preserve"> </w:t>
            </w:r>
            <w:r>
              <w:t xml:space="preserve">evaluates against the the program decision §1 exit criteria).</w:t>
            </w:r>
          </w:p>
          <w:p/>
        </w:tc>
      </w:tr>
    </w:tbl>
    <w:bookmarkStart w:id="19" w:name="preconditions"/>
    <w:p>
      <w:pPr>
        <w:pStyle w:val="Heading2"/>
      </w:pPr>
      <w:r>
        <w:t xml:space="preserve">Preconditions</w:t>
      </w:r>
    </w:p>
    <w:p>
      <w:pPr>
        <w:pStyle w:val="FirstParagraph"/>
      </w:pPr>
      <w:r>
        <w:t xml:space="preserve">Do not start until, per the earlier books:</w:t>
      </w:r>
    </w:p>
    <w:p>
      <w:pPr>
        <w:pStyle w:val="Compact"/>
        <w:numPr>
          <w:ilvl w:val="0"/>
          <w:numId w:val="1001"/>
        </w:numPr>
      </w:pPr>
      <w:r>
        <w:t xml:space="preserve">The instance is</w:t>
      </w:r>
      <w:r>
        <w:t xml:space="preserve"> </w:t>
      </w:r>
      <w:r>
        <w:rPr>
          <w:b/>
          <w:bCs/>
        </w:rPr>
        <w:t xml:space="preserve">SQL 2022+</w:t>
      </w:r>
      <w:r>
        <w:t xml:space="preserve">,</w:t>
      </w:r>
      <w:r>
        <w:t xml:space="preserve"> </w:t>
      </w:r>
      <w:r>
        <w:rPr>
          <w:b/>
          <w:bCs/>
        </w:rPr>
        <w:t xml:space="preserve">Arc-enrolled</w:t>
      </w:r>
      <w:r>
        <w:t xml:space="preserve">, with the Azure extension installed and a validated managed-identity token (Book 04).</w:t>
      </w:r>
    </w:p>
    <w:p>
      <w:pPr>
        <w:pStyle w:val="Compact"/>
        <w:numPr>
          <w:ilvl w:val="0"/>
          <w:numId w:val="1001"/>
        </w:numPr>
      </w:pPr>
      <w:r>
        <w:t xml:space="preserve">The estate has been</w:t>
      </w:r>
      <w:r>
        <w:t xml:space="preserve"> </w:t>
      </w:r>
      <w:r>
        <w:rPr>
          <w:b/>
          <w:bCs/>
        </w:rPr>
        <w:t xml:space="preserve">consolidated</w:t>
      </w:r>
      <w:r>
        <w:t xml:space="preserve"> </w:t>
      </w:r>
      <w:r>
        <w:t xml:space="preserve">— you are migrating only instances that survive (narrative Book 02; the program decision §1 consolidation gate).</w:t>
      </w:r>
    </w:p>
    <w:p>
      <w:pPr>
        <w:pStyle w:val="Compact"/>
        <w:numPr>
          <w:ilvl w:val="0"/>
          <w:numId w:val="1001"/>
        </w:numPr>
      </w:pPr>
      <w:r>
        <w:t xml:space="preserve">You have the Book 03</w:t>
      </w:r>
      <w:r>
        <w:t xml:space="preserve"> </w:t>
      </w:r>
      <w:r>
        <w:rPr>
          <w:rStyle w:val="VerbatimChar"/>
        </w:rPr>
        <w:t xml:space="preserve">*_logins.csv</w:t>
      </w:r>
      <w:r>
        <w:t xml:space="preserve"> </w:t>
      </w:r>
      <w:r>
        <w:t xml:space="preserve">for the instance: the</w:t>
      </w:r>
      <w:r>
        <w:t xml:space="preserve"> </w:t>
      </w:r>
      <w:r>
        <w:rPr>
          <w:rStyle w:val="VerbatimChar"/>
        </w:rPr>
        <w:t xml:space="preserve">WindowsLogins</w:t>
      </w:r>
      <w:r>
        <w:t xml:space="preserve"> </w:t>
      </w:r>
      <w:r>
        <w:t xml:space="preserve">you must reproduce as Entra logins, plus the</w:t>
      </w:r>
      <w:r>
        <w:t xml:space="preserve"> </w:t>
      </w:r>
      <w:r>
        <w:rPr>
          <w:rStyle w:val="VerbatimChar"/>
        </w:rPr>
        <w:t xml:space="preserve">OrphanedLogins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state to remediate.</w:t>
      </w:r>
    </w:p>
    <w:bookmarkEnd w:id="19"/>
    <w:bookmarkStart w:id="20" w:name="X621d6313ffc486c7e4c11acb2db567d4403a95a"/>
    <w:p>
      <w:pPr>
        <w:pStyle w:val="Heading2"/>
      </w:pPr>
      <w:r>
        <w:t xml:space="preserve">Step 1 — Generate the login statements (dry-run first)</w:t>
      </w:r>
    </w:p>
    <w:p>
      <w:pPr>
        <w:pStyle w:val="FirstParagraph"/>
      </w:pPr>
      <w:r>
        <w:t xml:space="preserve">Map each Windows login (or, preferably, the Entra</w:t>
      </w:r>
      <w:r>
        <w:t xml:space="preserve"> </w:t>
      </w:r>
      <w:r>
        <w:rPr>
          <w:b/>
          <w:bCs/>
        </w:rPr>
        <w:t xml:space="preserve">group</w:t>
      </w:r>
      <w:r>
        <w:t xml:space="preserve"> </w:t>
      </w:r>
      <w:r>
        <w:t xml:space="preserve">that should replace a set of them) to an external-provider login. Group-based logins are the target — they remove per-user churn:</w:t>
      </w:r>
    </w:p>
    <w:p>
      <w:pPr>
        <w:pStyle w:val="SourceCode"/>
      </w:pPr>
      <w:r>
        <w:rPr>
          <w:rStyle w:val="CommentTok"/>
        </w:rPr>
        <w:t xml:space="preserve">-- Per-group (preferred): one Entra group login replaces many individual logins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sys.server_principals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StringTok"/>
        </w:rPr>
        <w:t xml:space="preserve">'sql-app-readers'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LOGIN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app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readers]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EXTERNAL PROVIDER;</w:t>
      </w:r>
      <w:r>
        <w:br/>
      </w:r>
      <w:r>
        <w:br/>
      </w:r>
      <w:r>
        <w:rPr>
          <w:rStyle w:val="CommentTok"/>
        </w:rPr>
        <w:t xml:space="preserve">-- Per-user (only where a group is not appropriate)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sys.server_principals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StringTok"/>
        </w:rPr>
        <w:t xml:space="preserve">'jdoe@contoso.gov'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LOGIN [jdoe@contoso.gov]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EXTERNAL PROVIDER;</w:t>
      </w:r>
    </w:p>
    <w:p>
      <w:pPr>
        <w:pStyle w:val="FirstParagraph"/>
      </w:pPr>
      <w:r>
        <w:t xml:space="preserve">Generate these idempotently from the audit CSV rather than by hand:</w:t>
      </w:r>
    </w:p>
    <w:p>
      <w:pPr>
        <w:pStyle w:val="SourceCode"/>
      </w:pPr>
      <w:r>
        <w:rPr>
          <w:rStyle w:val="CommentTok"/>
        </w:rPr>
        <w:t xml:space="preserve"># Dry-run: emit reviewable T-SQL from the Book 03 login inventory. Writes a .sql file; executes nothing.</w:t>
      </w:r>
      <w:r>
        <w:br/>
      </w:r>
      <w:r>
        <w:rPr>
          <w:rStyle w:val="FunctionTok"/>
        </w:rPr>
        <w:t xml:space="preserve">Import-Csv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_logins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Where-Object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-eq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'WINDOWS_LOGIN'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Disabled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-eq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'False'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ForEach-Object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EntraPrincipal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mapped Entra UPN/group for the Windows login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"IF NOT EXISTS (SELECT 1 FROM sys.server_principals WHERE name = N'</w:t>
      </w:r>
      <w:r>
        <w:rPr>
          <w:rStyle w:val="VariableTok"/>
        </w:rPr>
        <w:t xml:space="preserve">$name</w:t>
      </w:r>
      <w:r>
        <w:rPr>
          <w:rStyle w:val="StringTok"/>
        </w:rPr>
        <w:t xml:space="preserve">')</w:t>
      </w:r>
      <w:r>
        <w:rPr>
          <w:rStyle w:val="CharTok"/>
        </w:rPr>
        <w:t xml:space="preserve">`n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    CREATE LOGIN [</w:t>
      </w:r>
      <w:r>
        <w:rPr>
          <w:rStyle w:val="VariableTok"/>
        </w:rPr>
        <w:t xml:space="preserve">$name</w:t>
      </w:r>
      <w:r>
        <w:rPr>
          <w:rStyle w:val="StringTok"/>
        </w:rPr>
        <w:t xml:space="preserve">] FROM EXTERNAL PROVIDER;</w:t>
      </w:r>
      <w:r>
        <w:rPr>
          <w:rStyle w:val="CharTok"/>
        </w:rPr>
        <w:t xml:space="preserve">`n</w:t>
      </w:r>
      <w:r>
        <w:rPr>
          <w:rStyle w:val="StringTok"/>
        </w:rPr>
        <w:t xml:space="preserve">GO"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\output\create-entra-logins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sql</w:t>
      </w:r>
    </w:p>
    <w:p>
      <w:pPr>
        <w:pStyle w:val="FirstParagraph"/>
      </w:pPr>
      <w:r>
        <w:rPr>
          <w:b/>
          <w:bCs/>
        </w:rPr>
        <w:t xml:space="preserve">Available</w:t>
      </w:r>
      <w:r>
        <w:t xml:space="preserve"> </w:t>
      </w:r>
      <w:r>
        <w:t xml:space="preserve">— the Windows-login → Entra-principal mapping (the</w:t>
      </w:r>
      <w:r>
        <w:t xml:space="preserve"> </w:t>
      </w:r>
      <w:r>
        <w:rPr>
          <w:rStyle w:val="VerbatimChar"/>
        </w:rPr>
        <w:t xml:space="preserve">EntraPrincipal</w:t>
      </w:r>
      <w:r>
        <w:t xml:space="preserve"> </w:t>
      </w:r>
      <w:r>
        <w:t xml:space="preserve">column) is the one piece of real judgment here, and</w:t>
      </w:r>
      <w:r>
        <w:t xml:space="preserve"> </w:t>
      </w:r>
      <w:r>
        <w:rPr>
          <w:rStyle w:val="VerbatimChar"/>
        </w:rPr>
        <w:t xml:space="preserve">New-FMPEntraLoginMapping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codifies it from the</w:t>
      </w:r>
      <w:r>
        <w:t xml:space="preserve"> </w:t>
      </w:r>
      <w:r>
        <w:rPr>
          <w:rStyle w:val="VerbatimChar"/>
        </w:rPr>
        <w:t xml:space="preserve">FMPIdentityAssessment</w:t>
      </w:r>
      <w:r>
        <w:t xml:space="preserve"> </w:t>
      </w:r>
      <w:r>
        <w:t xml:space="preserve">reconciliation (FMP_181) rather than from a hand-built spreadsheet: it joins the Book 03 login audit to the</w:t>
      </w:r>
      <w:r>
        <w:t xml:space="preserve"> </w:t>
      </w:r>
      <w:r>
        <w:rPr>
          <w:rStyle w:val="VerbatimChar"/>
        </w:rPr>
        <w:t xml:space="preserve">IdentityReconciliation</w:t>
      </w:r>
      <w:r>
        <w:t xml:space="preserve"> </w:t>
      </w:r>
      <w:r>
        <w:t xml:space="preserve">envelope, maps only cleanly</w:t>
      </w:r>
      <w:r>
        <w:t xml:space="preserve"> </w:t>
      </w:r>
      <w:r>
        <w:rPr>
          <w:b/>
          <w:bCs/>
        </w:rPr>
        <w:t xml:space="preserve">matched</w:t>
      </w:r>
      <w:r>
        <w:t xml:space="preserve"> </w:t>
      </w:r>
      <w:r>
        <w:t xml:space="preserve">principals automatically, prefers a supplied Entra</w:t>
      </w:r>
      <w:r>
        <w:t xml:space="preserve"> </w:t>
      </w:r>
      <w:r>
        <w:rPr>
          <w:b/>
          <w:bCs/>
        </w:rPr>
        <w:t xml:space="preserve">group</w:t>
      </w:r>
      <w:r>
        <w:t xml:space="preserve"> </w:t>
      </w:r>
      <w:r>
        <w:t xml:space="preserve">map (group-based logins are the target), and flags every unresolved login for review instead of silently dropping it.</w:t>
      </w:r>
      <w:r>
        <w:t xml:space="preserve"> </w:t>
      </w:r>
      <w:r>
        <w:rPr>
          <w:rStyle w:val="VerbatimChar"/>
        </w:rPr>
        <w:t xml:space="preserve">New-FMPEntraLoginScript</w:t>
      </w:r>
      <w:r>
        <w:t xml:space="preserve"> </w:t>
      </w:r>
      <w:r>
        <w:t xml:space="preserve">then turns that mapping into the idempotent</w:t>
      </w:r>
      <w:r>
        <w:t xml:space="preserve"> </w:t>
      </w:r>
      <w:r>
        <w:rPr>
          <w:rStyle w:val="VerbatimChar"/>
        </w:rPr>
        <w:t xml:space="preserve">CREATE LOGIN ... FROM EXTERNAL PROVIDER</w:t>
      </w:r>
      <w:r>
        <w:t xml:space="preserve"> </w:t>
      </w:r>
      <w:r>
        <w:rPr>
          <w:rStyle w:val="VerbatimChar"/>
        </w:rPr>
        <w:t xml:space="preserve">.sql</w:t>
      </w:r>
      <w:r>
        <w:t xml:space="preserve"> </w:t>
      </w:r>
      <w:r>
        <w:t xml:space="preserve">file shown above — dry-run only, no SQL connection, with unresolved entries emitted as commented-out TODOs. (Canon: the program decision, FMP_181, the directory modernization program §3.2.)</w:t>
      </w:r>
    </w:p>
    <w:bookmarkEnd w:id="20"/>
    <w:bookmarkStart w:id="21" w:name="Xaa1147998e13aef743aafef7028e612d83dfb15"/>
    <w:p>
      <w:pPr>
        <w:pStyle w:val="Heading2"/>
      </w:pPr>
      <w:r>
        <w:t xml:space="preserve">Step 2 — Map database users to the new logins</w:t>
      </w:r>
    </w:p>
    <w:p>
      <w:pPr>
        <w:pStyle w:val="FirstParagraph"/>
      </w:pPr>
      <w:r>
        <w:t xml:space="preserve">After the server-login exists, repoint each database user, preserving permissions: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[AppDb];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[jdoe] </w:t>
      </w:r>
      <w:r>
        <w:rPr>
          <w:rStyle w:val="KeywordTok"/>
        </w:rPr>
        <w:t xml:space="preserve">WITH</w:t>
      </w:r>
      <w:r>
        <w:rPr>
          <w:rStyle w:val="NormalTok"/>
        </w:rPr>
        <w:t xml:space="preserve"> LOGIN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[jdoe@contoso.gov];   </w:t>
      </w:r>
      <w:r>
        <w:rPr>
          <w:rStyle w:val="CommentTok"/>
        </w:rPr>
        <w:t xml:space="preserve">-- re-link existing user to the Entra login</w:t>
      </w:r>
      <w:r>
        <w:br/>
      </w:r>
      <w:r>
        <w:rPr>
          <w:rStyle w:val="CommentTok"/>
        </w:rPr>
        <w:t xml:space="preserve">-- or, for a new group-based user:</w:t>
      </w:r>
      <w:r>
        <w:br/>
      </w:r>
      <w:r>
        <w:rPr>
          <w:rStyle w:val="CommentTok"/>
        </w:rPr>
        <w:t xml:space="preserve">-- CREATE USER [sql-app-readers] FOR LOGIN [sql-app-readers];</w:t>
      </w:r>
    </w:p>
    <w:bookmarkEnd w:id="21"/>
    <w:bookmarkStart w:id="22" w:name="step-3-parallel-run-the-heart-of-it"/>
    <w:p>
      <w:pPr>
        <w:pStyle w:val="Heading2"/>
      </w:pPr>
      <w:r>
        <w:t xml:space="preserve">Step 3 — Parallel-run (the heart of it)</w:t>
      </w:r>
    </w:p>
    <w:p>
      <w:pPr>
        <w:pStyle w:val="FirstParagraph"/>
      </w:pPr>
      <w:r>
        <w:rPr>
          <w:b/>
          <w:bCs/>
        </w:rPr>
        <w:t xml:space="preserve">Keep the Windows logins enabled</w:t>
      </w:r>
      <w:r>
        <w:t xml:space="preserve"> </w:t>
      </w:r>
      <w:r>
        <w:t xml:space="preserve">alongside the new Entra logins. Both work; nothing is removed. This is the parallel-run window the program decision §1 requires — it makes cutover reversible.</w:t>
      </w:r>
    </w:p>
    <w:p>
      <w:pPr>
        <w:pStyle w:val="BodyText"/>
      </w:pPr>
      <w:r>
        <w:t xml:space="preserve">Observe which authentication scheme connections actually use, over a</w:t>
      </w:r>
      <w:r>
        <w:t xml:space="preserve"> </w:t>
      </w:r>
      <w:r>
        <w:rPr>
          <w:b/>
          <w:bCs/>
        </w:rPr>
        <w:t xml:space="preserve">30-day</w:t>
      </w:r>
      <w:r>
        <w:t xml:space="preserve"> </w:t>
      </w:r>
      <w:r>
        <w:t xml:space="preserve">window:</w:t>
      </w:r>
    </w:p>
    <w:p>
      <w:pPr>
        <w:pStyle w:val="SourceCode"/>
      </w:pPr>
      <w:r>
        <w:rPr>
          <w:rStyle w:val="CommentTok"/>
        </w:rPr>
        <w:t xml:space="preserve">-- Live: how are sessions authenticating right now?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 s.login_name,</w:t>
      </w:r>
      <w:r>
        <w:br/>
      </w:r>
      <w:r>
        <w:rPr>
          <w:rStyle w:val="NormalTok"/>
        </w:rPr>
        <w:t xml:space="preserve">        c.auth_scheme,                       </w:t>
      </w:r>
      <w:r>
        <w:rPr>
          <w:rStyle w:val="CommentTok"/>
        </w:rPr>
        <w:t xml:space="preserve">-- KERBEROS | NTLM | SQL | AAD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sessions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   sys.dm_exec_connections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   sys.dm_exec_sessions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s.session_id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c.session_id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s.login_name, c.auth_scheme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sessions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Stand up an Extended Events session (or SQL Audit) to capture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events for the duration so you have a durable 30-day record, not just a point-in-time snapshot. The exit criteria for the window:</w:t>
      </w:r>
    </w:p>
    <w:p>
      <w:pPr>
        <w:pStyle w:val="Compact"/>
        <w:numPr>
          <w:ilvl w:val="0"/>
          <w:numId w:val="1002"/>
        </w:numPr>
      </w:pPr>
      <w:r>
        <w:t xml:space="preserve">Every application and job that connected via a Windows login now also appears connecting via its Entra login (</w:t>
      </w:r>
      <w:r>
        <w:rPr>
          <w:rStyle w:val="VerbatimChar"/>
        </w:rPr>
        <w:t xml:space="preserve">auth_scheme = AAD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NTLM</w:t>
      </w:r>
      <w:r>
        <w:t xml:space="preserve"> </w:t>
      </w:r>
      <w:r>
        <w:t xml:space="preserve">rows remain for the instance (cross-check Book 06).</w:t>
      </w:r>
    </w:p>
    <w:p>
      <w:pPr>
        <w:pStyle w:val="Compact"/>
        <w:numPr>
          <w:ilvl w:val="0"/>
          <w:numId w:val="1002"/>
        </w:numPr>
      </w:pPr>
      <w:r>
        <w:t xml:space="preserve">No connection is</w:t>
      </w:r>
      <w:r>
        <w:t xml:space="preserve"> </w:t>
      </w:r>
      <w:r>
        <w:rPr>
          <w:i/>
          <w:iCs/>
        </w:rPr>
        <w:t xml:space="preserve">still</w:t>
      </w:r>
      <w:r>
        <w:t xml:space="preserve"> </w:t>
      </w:r>
      <w:r>
        <w:t xml:space="preserve">arriving only on the legacy Windows login.</w:t>
      </w:r>
    </w:p>
    <w:p>
      <w:pPr>
        <w:pStyle w:val="FirstParagraph"/>
      </w:pPr>
      <w:r>
        <w:rPr>
          <w:b/>
          <w:bCs/>
        </w:rPr>
        <w:t xml:space="preserve">Available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Test-FMPLoginParallelRun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evaluates a captured set of these observations against the three exit criteria and returns a sealed</w:t>
      </w:r>
      <w:r>
        <w:t xml:space="preserve"> </w:t>
      </w:r>
      <w:r>
        <w:rPr>
          <w:rStyle w:val="VerbatimChar"/>
        </w:rPr>
        <w:t xml:space="preserve">cutover_ready</w:t>
      </w:r>
      <w:r>
        <w:t xml:space="preserve"> </w:t>
      </w:r>
      <w:r>
        <w:t xml:space="preserve">verdict (per login: which auth schemes were seen, whether AAD is among them, whether the login still arrives only on a legacy scheme). It is read-only — it reports readiness; it never disables or drops a login.</w:t>
      </w:r>
    </w:p>
    <w:bookmarkEnd w:id="22"/>
    <w:bookmarkStart w:id="23" w:name="step-4-cutover"/>
    <w:p>
      <w:pPr>
        <w:pStyle w:val="Heading2"/>
      </w:pPr>
      <w:r>
        <w:t xml:space="preserve">Step 4 — Cutover</w:t>
      </w:r>
    </w:p>
    <w:p>
      <w:pPr>
        <w:pStyle w:val="FirstParagraph"/>
      </w:pPr>
      <w:r>
        <w:t xml:space="preserve">Only after the observation window’s exit criteria are met:</w:t>
      </w:r>
    </w:p>
    <w:p>
      <w:pPr>
        <w:pStyle w:val="SourceCode"/>
      </w:pPr>
      <w:r>
        <w:rPr>
          <w:rStyle w:val="CommentTok"/>
        </w:rPr>
        <w:t xml:space="preserve">-- Disable (do NOT drop) the superseded Windows login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LOGIN [CONTOSO\jdoe] </w:t>
      </w:r>
      <w:r>
        <w:rPr>
          <w:rStyle w:val="KeywordTok"/>
        </w:rPr>
        <w:t xml:space="preserve">DISABLE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Disable, observe for a further short tail, then — and only then — consider dropping. The narrative’s</w:t>
      </w:r>
      <w:r>
        <w:t xml:space="preserve"> </w:t>
      </w:r>
      <w:r>
        <w:t xml:space="preserve">“the date is a backstop, the migration must already be complete”</w:t>
      </w:r>
      <w:r>
        <w:t xml:space="preserve"> </w:t>
      </w:r>
      <w:r>
        <w:t xml:space="preserve">applies here: the 2027-04-01 NTLM block (Book 06) assumes this cutover is finished well before it.</w:t>
      </w:r>
    </w:p>
    <w:bookmarkEnd w:id="23"/>
    <w:bookmarkStart w:id="24" w:name="rollback"/>
    <w:p>
      <w:pPr>
        <w:pStyle w:val="Heading2"/>
      </w:pPr>
      <w:r>
        <w:t xml:space="preserve">Rollback</w:t>
      </w:r>
    </w:p>
    <w:p>
      <w:pPr>
        <w:pStyle w:val="FirstParagraph"/>
      </w:pPr>
      <w:r>
        <w:t xml:space="preserve">Because the Windows logins are</w:t>
      </w:r>
      <w:r>
        <w:t xml:space="preserve"> </w:t>
      </w:r>
      <w:r>
        <w:rPr>
          <w:b/>
          <w:bCs/>
        </w:rPr>
        <w:t xml:space="preserve">disabled, not dropped</w:t>
      </w:r>
      <w:r>
        <w:t xml:space="preserve">, rollback is immediate: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LOGIN [CONTOSO\jdoe]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This is why nothing is dropped during migration — the cost of keeping a disabled login is trivial against the value of an instant rollback path.</w:t>
      </w:r>
    </w:p>
    <w:bookmarkEnd w:id="24"/>
    <w:bookmarkStart w:id="25" w:name="the-sa-account"/>
    <w:p>
      <w:pPr>
        <w:pStyle w:val="Heading2"/>
      </w:pPr>
      <w:r>
        <w:t xml:space="preserve">The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account</w:t>
      </w:r>
    </w:p>
    <w:p>
      <w:pPr>
        <w:pStyle w:val="FirstParagraph"/>
      </w:pPr>
      <w:r>
        <w:t xml:space="preserve">If Book 03 flagged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as enabled (</w:t>
      </w:r>
      <w:r>
        <w:rPr>
          <w:rStyle w:val="VerbatimChar"/>
        </w:rPr>
        <w:t xml:space="preserve">EntraIDBlockers</w:t>
      </w:r>
      <w:r>
        <w:t xml:space="preserve">), it is remediated here, independently of user migration: disable it, and rename if your standard requires it. It is never a migration target — it is a finding to close.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LOGIN [sa] </w:t>
      </w:r>
      <w:r>
        <w:rPr>
          <w:rStyle w:val="KeywordTok"/>
        </w:rPr>
        <w:t xml:space="preserve">DISABLE</w:t>
      </w:r>
      <w:r>
        <w:rPr>
          <w:rStyle w:val="NormalTok"/>
        </w:rPr>
        <w:t xml:space="preserve">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05 and the program decision §1. Shipped automation: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tools/powershell/FMPSqlServerMigration/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New-FMPEntraLoginMapping</w:t>
      </w:r>
      <w:r>
        <w:rPr>
          <w:i/>
          <w:iCs/>
        </w:rPr>
        <w:t xml:space="preserve"> </w:t>
      </w:r>
      <w:r>
        <w:rPr>
          <w:i/>
          <w:iCs/>
        </w:rPr>
        <w:t xml:space="preserve">codifies the mapping from FMP_181,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New-FMPEntraLoginScript</w:t>
      </w:r>
      <w:r>
        <w:rPr>
          <w:i/>
          <w:iCs/>
        </w:rPr>
        <w:t xml:space="preserve"> </w:t>
      </w:r>
      <w:r>
        <w:rPr>
          <w:i/>
          <w:iCs/>
        </w:rPr>
        <w:t xml:space="preserve">generates dry-run T-SQL,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Test-FMPLoginParallelRun</w:t>
      </w:r>
      <w:r>
        <w:rPr>
          <w:i/>
          <w:iCs/>
        </w:rPr>
        <w:t xml:space="preserve"> </w:t>
      </w:r>
      <w:r>
        <w:rPr>
          <w:i/>
          <w:iCs/>
        </w:rPr>
        <w:t xml:space="preserve">evaluates the cutover exit criteria) — review-required; the generated T-SQL executes nothing on generation. Canon: the program decision, FMP_181, the directory modernization program §3.2.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hyperlink" Id="rId12" Target="Book_05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5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05 — Login Migration &amp; Parallel-Run Validation</dc:title>
  <dc:creator/>
  <dc:description>A review-required runbook for migrating SQL Server authentication to Microsoft Entra ID. Takes the login inventory from Book 03, codifies the Windows-to-Entra mapping from the FMP_181 reconciliation, generates idempotent CREATE LOGIN … FROM EXTERNAL PROVIDER statements as a dry-run script, stands up a parallel-run validation harness with 30-day observation queries, and defines the cutover and rollback. The mapping, script generation, and parallel-run evaluation are shipped in the FMPSqlServerMigration module and execute nothing against production; the steps stay review-required because the generated T-SQL changes production logins.</dc:description>
  <cp:keywords/>
  <dcterms:created xsi:type="dcterms:W3CDTF">2026-10-19T10:11:36Z</dcterms:created>
  <dcterms:modified xsi:type="dcterms:W3CDTF">2026-10-19T10:11:36Z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5</vt:lpwstr>
  </property>
  <property fmtid="{D5CDD505-2E9C-101B-9397-08002B2CF9AE}" pid="14" name="status">
    <vt:lpwstr>active</vt:lpwstr>
  </property>
  <property fmtid="{D5CDD505-2E9C-101B-9397-08002B2CF9AE}" pid="15" name="subtitle">
    <vt:lpwstr>Turning the audited logins into Entra ID logins on SQL 2022+ via CREATE LOGIN FROM EXTERNAL PROVIDER, with a parallel-run harness and a 30-day observation window before cutover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