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Implementation Book 06 — NTLM Detection &amp; Remediation</w:t>
      </w:r>
    </w:p>
    <w:p>
      <w:pPr>
        <w:pStyle w:val="Subtitle"/>
      </w:pPr>
      <w:r>
        <w:t xml:space="preserve">Detect every NTLM-generating pattern with the real SPN and protocol audits, then work the review-required remediation runbook to Kerberos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0" w:name="X5ef7aa085b89338d9f45aca375cecea92450927"/>
    <w:p>
      <w:pPr>
        <w:pStyle w:val="Heading1"/>
      </w:pPr>
      <w:r>
        <w:t xml:space="preserve">Implementation Book 06 — NTLM Detection &amp; Remediation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Book_06.docx</w:t>
              </w:r>
            </w:hyperlink>
            <w:r>
              <w:t xml:space="preserve"> </w:t>
            </w:r>
            <w:r>
              <w:t xml:space="preserve">— this entire book as a single Word document, images included.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Companion to</w:t>
            </w:r>
            <w:r>
              <w:t xml:space="preserve"> </w:t>
            </w:r>
            <w:r>
              <w:rPr>
                <w:b/>
                <w:bCs/>
              </w:rPr>
              <w:t xml:space="preserve">narrative Book 06</w:t>
            </w:r>
            <w:r>
              <w:t xml:space="preserve">. The narrative explains why NTLM is a protocol and not a switch; this book is the detect-then-remediate runbook.</w:t>
            </w:r>
            <w:r>
              <w:t xml:space="preserve"> </w:t>
            </w:r>
            <w:r>
              <w:rPr>
                <w:b/>
                <w:bCs/>
              </w:rPr>
              <w:t xml:space="preserve">Detection is read-only and backed by shipped scripts. Remediation changes production</w:t>
            </w:r>
            <w:r>
              <w:t xml:space="preserve"> </w:t>
            </w:r>
            <w:r>
              <w:t xml:space="preserve">— SPNs, linked servers, and Group Policy — and is marked review-required throughout. (the program decision, the directory modernization program §3.2)</w:t>
            </w:r>
          </w:p>
          <w:p/>
        </w:tc>
      </w:tr>
    </w:tbl>
    <w:bookmarkStart w:id="16" w:name="the-shape-of-the-problem"/>
    <w:p>
      <w:pPr>
        <w:pStyle w:val="Heading2"/>
      </w:pPr>
      <w:r>
        <w:t xml:space="preserve">The shape of the problem</w:t>
      </w:r>
    </w:p>
    <w:p>
      <w:pPr>
        <w:pStyle w:val="FirstParagraph"/>
      </w:pPr>
      <w:r>
        <w:t xml:space="preserve">SQL Server falls back to NTLM whenever Kerberos cannot complete: a missing or duplicated</w:t>
      </w:r>
      <w:r>
        <w:t xml:space="preserve"> </w:t>
      </w:r>
      <w:r>
        <w:rPr>
          <w:rStyle w:val="VerbatimChar"/>
        </w:rPr>
        <w:t xml:space="preserve">MSSQLSvc</w:t>
      </w:r>
      <w:r>
        <w:t xml:space="preserve"> </w:t>
      </w:r>
      <w:r>
        <w:t xml:space="preserve">SPN, a client that cannot reach a KDC, linked-server passthrough, or a non-domain-joined host. You cannot remediate what you have not detected, so this book is two phases:</w:t>
      </w:r>
      <w:r>
        <w:t xml:space="preserve"> </w:t>
      </w:r>
      <w:r>
        <w:rPr>
          <w:b/>
          <w:bCs/>
        </w:rPr>
        <w:t xml:space="preserve">detect</w:t>
      </w:r>
      <w:r>
        <w:t xml:space="preserve"> </w:t>
      </w:r>
      <w:r>
        <w:t xml:space="preserve">(run-first, read-only) then</w:t>
      </w:r>
      <w:r>
        <w:t xml:space="preserve"> </w:t>
      </w:r>
      <w:r>
        <w:rPr>
          <w:b/>
          <w:bCs/>
        </w:rPr>
        <w:t xml:space="preserve">remediate</w:t>
      </w:r>
      <w:r>
        <w:t xml:space="preserve"> </w:t>
      </w:r>
      <w:r>
        <w:t xml:space="preserve">(review-required, audit/</w:t>
      </w:r>
      <w:r>
        <w:rPr>
          <w:rStyle w:val="VerbatimChar"/>
        </w:rPr>
        <w:t xml:space="preserve">-WhatIf</w:t>
      </w:r>
      <w:r>
        <w:t xml:space="preserve"> </w:t>
      </w:r>
      <w:r>
        <w:t xml:space="preserve">first).</w:t>
      </w:r>
    </w:p>
    <w:bookmarkEnd w:id="16"/>
    <w:bookmarkStart w:id="20" w:name="phase-1-detection-read-only"/>
    <w:p>
      <w:pPr>
        <w:pStyle w:val="Heading2"/>
      </w:pPr>
      <w:r>
        <w:t xml:space="preserve">Phase 1 — Detection (read-only)</w:t>
      </w:r>
    </w:p>
    <w:bookmarkStart w:id="17" w:name="Xbb658eced56d520b536e31ae70b126e41d2feba"/>
    <w:p>
      <w:pPr>
        <w:pStyle w:val="Heading3"/>
      </w:pPr>
      <w:r>
        <w:rPr>
          <w:rStyle w:val="VerbatimChar"/>
        </w:rPr>
        <w:t xml:space="preserve">Spec1-D1.5-Get-KerberosSPNInventory.ps1</w:t>
      </w:r>
      <w:r>
        <w:t xml:space="preserve"> </w:t>
      </w:r>
      <w:r>
        <w:t xml:space="preserve">— the SPN map</w:t>
      </w:r>
    </w:p>
    <w:p>
      <w:pPr>
        <w:pStyle w:val="FirstParagraph"/>
      </w:pPr>
      <w:r>
        <w:t xml:space="preserve">Catalogs every SPN, flags duplicates and orphans, and assigns a per-service-class migration target. For SQL the relevant service class is</w:t>
      </w:r>
      <w:r>
        <w:t xml:space="preserve"> </w:t>
      </w:r>
      <w:r>
        <w:rPr>
          <w:rStyle w:val="VerbatimChar"/>
        </w:rPr>
        <w:t xml:space="preserve">MSSQLSvc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Parameter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-OutputPath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.\output</w:t>
            </w:r>
          </w:p>
        </w:tc>
        <w:tc>
          <w:tcPr/>
          <w:p>
            <w:pPr>
              <w:pStyle w:val="Compact"/>
            </w:pPr>
            <w:r>
              <w:t xml:space="preserve">Output directory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-DomainController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Target a specific 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-SearchBase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Optional AD search base (DN)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-D4InputFile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Spec1-D1.4 audit JSON, for delegation cross-reference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-ResolveDNS</w:t>
            </w:r>
          </w:p>
        </w:tc>
        <w:tc>
          <w:tcPr/>
          <w:p>
            <w:pPr>
              <w:pStyle w:val="Compact"/>
            </w:pPr>
            <w:r>
              <w:t xml:space="preserve">switch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  <w:tc>
          <w:tcPr/>
          <w:p>
            <w:pPr>
              <w:pStyle w:val="Compact"/>
            </w:pPr>
            <w:r>
              <w:t xml:space="preserve">Resolve each SPN hostname (slow on large estates)</w:t>
            </w:r>
          </w:p>
        </w:tc>
      </w:tr>
    </w:tbl>
    <w:p>
      <w:pPr>
        <w:pStyle w:val="BodyText"/>
      </w:pPr>
      <w:r>
        <w:t xml:space="preserve">Output:</w:t>
      </w:r>
      <w:r>
        <w:t xml:space="preserve"> </w:t>
      </w:r>
      <w:r>
        <w:rPr>
          <w:rStyle w:val="VerbatimChar"/>
        </w:rPr>
        <w:t xml:space="preserve">*.json</w:t>
      </w:r>
      <w:r>
        <w:t xml:space="preserve"> </w:t>
      </w:r>
      <w:r>
        <w:t xml:space="preserve">(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SPNs[]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Duplicates[]</w:t>
      </w:r>
      <w:r>
        <w:t xml:space="preserve">,</w:t>
      </w:r>
      <w:r>
        <w:t xml:space="preserve"> </w:t>
      </w:r>
      <w:r>
        <w:rPr>
          <w:rStyle w:val="VerbatimChar"/>
        </w:rPr>
        <w:t xml:space="preserve">Orphans[]</w:t>
      </w:r>
      <w:r>
        <w:t xml:space="preserve">) plus</w:t>
      </w:r>
      <w:r>
        <w:t xml:space="preserve"> </w:t>
      </w:r>
      <w:r>
        <w:rPr>
          <w:rStyle w:val="VerbatimChar"/>
        </w:rPr>
        <w:t xml:space="preserve">*.csv</w:t>
      </w:r>
      <w:r>
        <w:t xml:space="preserve"> </w:t>
      </w:r>
      <w:r>
        <w:t xml:space="preserve">and, when duplicates exist,</w:t>
      </w:r>
      <w:r>
        <w:t xml:space="preserve"> </w:t>
      </w:r>
      <w:r>
        <w:rPr>
          <w:rStyle w:val="VerbatimChar"/>
        </w:rPr>
        <w:t xml:space="preserve">*_duplicates.csv</w:t>
      </w:r>
      <w:r>
        <w:t xml:space="preserve">. Each SPN record includes</w:t>
      </w:r>
      <w:r>
        <w:t xml:space="preserve"> </w:t>
      </w:r>
      <w:r>
        <w:rPr>
          <w:rStyle w:val="VerbatimChar"/>
        </w:rPr>
        <w:t xml:space="preserve">IsOrphan</w:t>
      </w:r>
      <w:r>
        <w:t xml:space="preserve">,</w:t>
      </w:r>
      <w:r>
        <w:t xml:space="preserve"> </w:t>
      </w:r>
      <w:r>
        <w:rPr>
          <w:rStyle w:val="VerbatimChar"/>
        </w:rPr>
        <w:t xml:space="preserve">DaysSinceLogon</w:t>
      </w:r>
      <w:r>
        <w:t xml:space="preserve">,</w:t>
      </w:r>
      <w:r>
        <w:t xml:space="preserve"> </w:t>
      </w:r>
      <w:r>
        <w:rPr>
          <w:rStyle w:val="VerbatimChar"/>
        </w:rPr>
        <w:t xml:space="preserve">HasDelegation</w:t>
      </w:r>
      <w:r>
        <w:t xml:space="preserve">, and a</w:t>
      </w:r>
      <w:r>
        <w:t xml:space="preserve"> </w:t>
      </w:r>
      <w:r>
        <w:rPr>
          <w:rStyle w:val="VerbatimChar"/>
        </w:rPr>
        <w:t xml:space="preserve">MigrationTarget</w:t>
      </w:r>
      <w:r>
        <w:t xml:space="preserve"> </w:t>
      </w:r>
      <w:r>
        <w:t xml:space="preserve">(</w:t>
      </w:r>
      <w:r>
        <w:rPr>
          <w:rStyle w:val="VerbatimChar"/>
        </w:rPr>
        <w:t xml:space="preserve">MSSQLSvc</w:t>
      </w:r>
      <w:r>
        <w:t xml:space="preserve"> </w:t>
      </w:r>
      <w:r>
        <w:t xml:space="preserve">→</w:t>
      </w:r>
      <w:r>
        <w:t xml:space="preserve"> </w:t>
      </w:r>
      <w:r>
        <w:rPr>
          <w:i/>
          <w:iCs/>
        </w:rPr>
        <w:t xml:space="preserve">“Entra ID auth for SQL 2022+ via Arc”</w:t>
      </w:r>
      <w:r>
        <w:t xml:space="preserve">). A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rPr>
          <w:rStyle w:val="VerbatimChar"/>
        </w:rPr>
        <w:t xml:space="preserve">MSSQLSvc</w:t>
      </w:r>
      <w:r>
        <w:t xml:space="preserve"> </w:t>
      </w:r>
      <w:r>
        <w:t xml:space="preserve">SPN is the most common silent-NTLM root cause; a</w:t>
      </w:r>
      <w:r>
        <w:t xml:space="preserve"> </w:t>
      </w:r>
      <w:r>
        <w:rPr>
          <w:b/>
          <w:bCs/>
        </w:rPr>
        <w:t xml:space="preserve">duplicate</w:t>
      </w:r>
      <w:r>
        <w:t xml:space="preserve"> </w:t>
      </w:r>
      <w:r>
        <w:t xml:space="preserve">is the second.</w:t>
      </w:r>
    </w:p>
    <w:bookmarkEnd w:id="17"/>
    <w:bookmarkStart w:id="18" w:name="Xe1eba0409cfeec6004d6bacdc76f3da29e9b56c"/>
    <w:p>
      <w:pPr>
        <w:pStyle w:val="Heading3"/>
      </w:pPr>
      <w:r>
        <w:rPr>
          <w:rStyle w:val="VerbatimChar"/>
        </w:rPr>
        <w:t xml:space="preserve">Spec3-D1.7-Get-SPNCollisionReport.ps1</w:t>
      </w:r>
      <w:r>
        <w:t xml:space="preserve"> </w:t>
      </w:r>
      <w:r>
        <w:t xml:space="preserve">— what breaks Kerberos</w:t>
      </w:r>
    </w:p>
    <w:p>
      <w:pPr>
        <w:pStyle w:val="FirstParagraph"/>
      </w:pPr>
      <w:r>
        <w:t xml:space="preserve">Consumes the D1.5 inventory (or queries live) and classifies collisions that force NTLM fallback.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Parameter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-OutputPath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.\output</w:t>
            </w:r>
          </w:p>
        </w:tc>
        <w:tc>
          <w:tcPr/>
          <w:p>
            <w:pPr>
              <w:pStyle w:val="Compact"/>
            </w:pPr>
            <w:r>
              <w:t xml:space="preserve">Output directory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-D5InputFile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The Spec1-D1.5 SPN-inventory JSON (omit to query AD live)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-DomainController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-SearchBase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Live-query targeting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-ResolveDNS</w:t>
            </w:r>
          </w:p>
        </w:tc>
        <w:tc>
          <w:tcPr/>
          <w:p>
            <w:pPr>
              <w:pStyle w:val="Compact"/>
            </w:pPr>
            <w:r>
              <w:t xml:space="preserve">switch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  <w:tc>
          <w:tcPr/>
          <w:p>
            <w:pPr>
              <w:pStyle w:val="Compact"/>
            </w:pPr>
            <w:r>
              <w:t xml:space="preserve">Detect DNS-alias collisions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-IncludeForestWide</w:t>
            </w:r>
          </w:p>
        </w:tc>
        <w:tc>
          <w:tcPr/>
          <w:p>
            <w:pPr>
              <w:pStyle w:val="Compact"/>
            </w:pPr>
            <w:r>
              <w:t xml:space="preserve">switch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  <w:tc>
          <w:tcPr/>
          <w:p>
            <w:pPr>
              <w:pStyle w:val="Compact"/>
            </w:pPr>
            <w:r>
              <w:t xml:space="preserve">Cross-domain collisions across the forest</w:t>
            </w:r>
          </w:p>
        </w:tc>
      </w:tr>
    </w:tbl>
    <w:p>
      <w:pPr>
        <w:pStyle w:val="BodyText"/>
      </w:pPr>
      <w:r>
        <w:t xml:space="preserve">It detects five collision types —</w:t>
      </w:r>
      <w:r>
        <w:t xml:space="preserve"> </w:t>
      </w:r>
      <w:r>
        <w:rPr>
          <w:b/>
          <w:bCs/>
        </w:rPr>
        <w:t xml:space="preserve">exact duplicate</w:t>
      </w:r>
      <w:r>
        <w:t xml:space="preserve">,</w:t>
      </w:r>
      <w:r>
        <w:t xml:space="preserve"> </w:t>
      </w:r>
      <w:r>
        <w:rPr>
          <w:b/>
          <w:bCs/>
        </w:rPr>
        <w:t xml:space="preserve">case-insensitive</w:t>
      </w:r>
      <w:r>
        <w:t xml:space="preserve">,</w:t>
      </w:r>
      <w:r>
        <w:t xml:space="preserve"> </w:t>
      </w:r>
      <w:r>
        <w:rPr>
          <w:b/>
          <w:bCs/>
        </w:rPr>
        <w:t xml:space="preserve">port-variant</w:t>
      </w:r>
      <w:r>
        <w:t xml:space="preserve">,</w:t>
      </w:r>
      <w:r>
        <w:t xml:space="preserve"> </w:t>
      </w:r>
      <w:r>
        <w:rPr>
          <w:b/>
          <w:bCs/>
        </w:rPr>
        <w:t xml:space="preserve">cross-object-type</w:t>
      </w:r>
      <w:r>
        <w:t xml:space="preserve"> </w:t>
      </w:r>
      <w:r>
        <w:t xml:space="preserve">(same SPN on a computer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a user object), and</w:t>
      </w:r>
      <w:r>
        <w:t xml:space="preserve"> </w:t>
      </w:r>
      <w:r>
        <w:rPr>
          <w:b/>
          <w:bCs/>
        </w:rPr>
        <w:t xml:space="preserve">DNS alias</w:t>
      </w:r>
      <w:r>
        <w:t xml:space="preserve"> </w:t>
      </w:r>
      <w:r>
        <w:t xml:space="preserve">— and emits</w:t>
      </w:r>
      <w:r>
        <w:t xml:space="preserve"> </w:t>
      </w:r>
      <w:r>
        <w:rPr>
          <w:rStyle w:val="VerbatimChar"/>
        </w:rPr>
        <w:t xml:space="preserve">*_collisions.csv</w:t>
      </w:r>
      <w:r>
        <w:t xml:space="preserve"> </w:t>
      </w:r>
      <w:r>
        <w:t xml:space="preserve">plus a</w:t>
      </w:r>
      <w:r>
        <w:t xml:space="preserve"> </w:t>
      </w:r>
      <w:r>
        <w:rPr>
          <w:rStyle w:val="VerbatimChar"/>
        </w:rPr>
        <w:t xml:space="preserve">*_remediation.csv</w:t>
      </w:r>
      <w:r>
        <w:t xml:space="preserve"> </w:t>
      </w:r>
      <w:r>
        <w:t xml:space="preserve">action plan. Severity is</w:t>
      </w:r>
      <w:r>
        <w:t xml:space="preserve"> </w:t>
      </w:r>
      <w:r>
        <w:rPr>
          <w:b/>
          <w:bCs/>
        </w:rPr>
        <w:t xml:space="preserve">CRITICAL</w:t>
      </w:r>
      <w:r>
        <w:t xml:space="preserve"> </w:t>
      </w:r>
      <w:r>
        <w:t xml:space="preserve">when two or more</w:t>
      </w:r>
      <w:r>
        <w:t xml:space="preserve"> </w:t>
      </w:r>
      <w:r>
        <w:rPr>
          <w:i/>
          <w:iCs/>
        </w:rPr>
        <w:t xml:space="preserve">enabled</w:t>
      </w:r>
      <w:r>
        <w:t xml:space="preserve"> </w:t>
      </w:r>
      <w:r>
        <w:t xml:space="preserve">accounts hold the same SPN, or for a cross-object-type collision.</w:t>
      </w:r>
    </w:p>
    <w:bookmarkEnd w:id="18"/>
    <w:bookmarkStart w:id="19" w:name="Xc3adaac11f4a08e2b2fbf55ad2d9aa0cf3e0eec"/>
    <w:p>
      <w:pPr>
        <w:pStyle w:val="Heading3"/>
      </w:pPr>
      <w:r>
        <w:rPr>
          <w:rStyle w:val="VerbatimChar"/>
        </w:rPr>
        <w:t xml:space="preserve">Spec1-D1.4-Get-AuthenticationProtocolAudit.ps1</w:t>
      </w:r>
      <w:r>
        <w:t xml:space="preserve"> </w:t>
      </w:r>
      <w:r>
        <w:t xml:space="preserve">— NTLM indicators &amp; delegation</w:t>
      </w:r>
    </w:p>
    <w:p>
      <w:pPr>
        <w:pStyle w:val="FirstParagraph"/>
      </w:pPr>
      <w:r>
        <w:t xml:space="preserve">Finds the delegation configurations (unconstrained, KCD, RBCD) and NTLM dependency indicators (Protected Users membership, Authentication Policies / Silos) that shape what can move to Kerberos. Output:</w:t>
      </w:r>
      <w:r>
        <w:t xml:space="preserve"> </w:t>
      </w:r>
      <w:r>
        <w:rPr>
          <w:rStyle w:val="VerbatimChar"/>
        </w:rPr>
        <w:t xml:space="preserve">*_findings.csv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*_chains.csv</w:t>
      </w:r>
      <w:r>
        <w:t xml:space="preserve">, each finding carrying a</w:t>
      </w:r>
      <w:r>
        <w:t xml:space="preserve"> </w:t>
      </w:r>
      <w:r>
        <w:rPr>
          <w:rStyle w:val="VerbatimChar"/>
        </w:rPr>
        <w:t xml:space="preserve">Risk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Remediation</w:t>
      </w:r>
      <w:r>
        <w:t xml:space="preserve">.</w:t>
      </w:r>
    </w:p>
    <w:p>
      <w:pPr>
        <w:pStyle w:val="SourceCode"/>
      </w:pPr>
      <w:r>
        <w:rPr>
          <w:rStyle w:val="CommentTok"/>
        </w:rPr>
        <w:t xml:space="preserve"># Detection pass for SQL NTLM — run in order, read-only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Spec1-D1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Get-KerberosSPNInventory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Spec3-D1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Get-SPNCollisionReport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D5InputFile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KerberosSPNInventory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  <w:r>
        <w:br/>
      </w:r>
      <w:r>
        <w:rPr>
          <w:rStyle w:val="OperatorTok"/>
        </w:rPr>
        <w:t xml:space="preserve">./</w:t>
      </w:r>
      <w:r>
        <w:rPr>
          <w:rStyle w:val="NormalTok"/>
        </w:rPr>
        <w:t xml:space="preserve">Spec1-D1</w:t>
      </w:r>
      <w:r>
        <w:rPr>
          <w:rStyle w:val="OperatorTok"/>
        </w:rPr>
        <w:t xml:space="preserve">.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Get-AuthenticationProtocolAudit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</w:p>
    <w:bookmarkEnd w:id="19"/>
    <w:bookmarkEnd w:id="20"/>
    <w:bookmarkStart w:id="28" w:name="X96f91df49d9540c231a9136a57489e57c3d5d1b"/>
    <w:p>
      <w:pPr>
        <w:pStyle w:val="Heading2"/>
      </w:pPr>
      <w:r>
        <w:t xml:space="preserve">Phase 2 — Remediation (review-required patterns)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These change production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SPN edits, linked-server reconfiguration, and Group Policy changes alter live authentication. The remediation</w:t>
            </w:r>
            <w:r>
              <w:t xml:space="preserve"> </w:t>
            </w:r>
            <w:r>
              <w:rPr>
                <w:b/>
                <w:bCs/>
              </w:rPr>
              <w:t xml:space="preserve">planning</w:t>
            </w:r>
            <w:r>
              <w:t xml:space="preserve"> </w:t>
            </w:r>
            <w:r>
              <w:t xml:space="preserve">is now shipped and</w:t>
            </w:r>
            <w:r>
              <w:t xml:space="preserve"> </w:t>
            </w:r>
            <w:r>
              <w:rPr>
                <w:b/>
                <w:bCs/>
              </w:rPr>
              <w:t xml:space="preserve">audit-first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New-FMPSpnRemediationPlan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Get-FMPNtlmGpoReport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tools/powershell/FMPSqlServerMigration/</w:t>
            </w:r>
            <w:r>
              <w:t xml:space="preserve">) emit reviewable plans and posture reports but enforce</w:t>
            </w:r>
            <w:r>
              <w:t xml:space="preserve"> </w:t>
            </w:r>
            <w:r>
              <w:rPr>
                <w:b/>
                <w:bCs/>
              </w:rPr>
              <w:t xml:space="preserve">nothing</w:t>
            </w:r>
            <w:r>
              <w:t xml:space="preserve"> </w:t>
            </w:r>
            <w:r>
              <w:t xml:space="preserve">— they run no</w:t>
            </w:r>
            <w:r>
              <w:t xml:space="preserve"> </w:t>
            </w:r>
            <w:r>
              <w:rPr>
                <w:rStyle w:val="VerbatimChar"/>
              </w:rPr>
              <w:t xml:space="preserve">setspn</w:t>
            </w:r>
            <w:r>
              <w:t xml:space="preserve"> </w:t>
            </w:r>
            <w:r>
              <w:t xml:space="preserve">and set no GPO. The</w:t>
            </w:r>
            <w:r>
              <w:t xml:space="preserve"> </w:t>
            </w:r>
            <w:r>
              <w:rPr>
                <w:rStyle w:val="VerbatimChar"/>
              </w:rPr>
              <w:t xml:space="preserve">setspn</w:t>
            </w:r>
            <w:r>
              <w:t xml:space="preserve"> </w:t>
            </w:r>
            <w:r>
              <w:t xml:space="preserve">and Group Policy patterns below remain the verified actions, to be run in a change window after the plan is reviewed. Validate each in audit mode, capture the planned change, and route it through change control and security review before enforcement.</w:t>
            </w:r>
          </w:p>
          <w:p/>
        </w:tc>
      </w:tr>
    </w:tbl>
    <w:bookmarkStart w:id="24" w:name="register-a-missing-mssqlsvc-spn"/>
    <w:p>
      <w:pPr>
        <w:pStyle w:val="Heading3"/>
      </w:pPr>
      <w:r>
        <w:t xml:space="preserve">Register a missing</w:t>
      </w:r>
      <w:r>
        <w:t xml:space="preserve"> </w:t>
      </w:r>
      <w:r>
        <w:rPr>
          <w:rStyle w:val="VerbatimChar"/>
        </w:rPr>
        <w:t xml:space="preserve">MSSQLSvc</w:t>
      </w:r>
      <w:r>
        <w:t xml:space="preserve"> </w:t>
      </w:r>
      <w:r>
        <w:t xml:space="preserve">SPN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-S</w:t>
      </w:r>
      <w:r>
        <w:t xml:space="preserve"> </w:t>
      </w:r>
      <w:r>
        <w:t xml:space="preserve">(not</w:t>
      </w:r>
      <w:r>
        <w:t xml:space="preserve"> </w:t>
      </w:r>
      <w:r>
        <w:rPr>
          <w:rStyle w:val="VerbatimChar"/>
        </w:rPr>
        <w:t xml:space="preserve">-A</w:t>
      </w:r>
      <w:r>
        <w:t xml:space="preserve">) so the registration is</w:t>
      </w:r>
      <w:r>
        <w:t xml:space="preserve"> </w:t>
      </w:r>
      <w:r>
        <w:rPr>
          <w:b/>
          <w:bCs/>
        </w:rPr>
        <w:t xml:space="preserve">rejected if it would collide</w:t>
      </w:r>
      <w:r>
        <w:t xml:space="preserve"> </w:t>
      </w:r>
      <w:r>
        <w:t xml:space="preserve">— this is the safe form:</w:t>
      </w:r>
    </w:p>
    <w:p>
      <w:pPr>
        <w:pStyle w:val="SourceCode"/>
      </w:pPr>
      <w:r>
        <w:rPr>
          <w:rStyle w:val="CommentTok"/>
        </w:rPr>
        <w:t xml:space="preserve"># host-based and FQDN, for the service account running the SQL service</w:t>
      </w:r>
      <w:r>
        <w:br/>
      </w:r>
      <w:r>
        <w:rPr>
          <w:rStyle w:val="NormalTok"/>
        </w:rPr>
        <w:t xml:space="preserve">setspn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 MSSQLSvc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sqlhost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1433</w:t>
      </w:r>
      <w:r>
        <w:rPr>
          <w:rStyle w:val="NormalTok"/>
        </w:rPr>
        <w:t xml:space="preserve"> CONTOSO\svc-sql</w:t>
      </w:r>
      <w:r>
        <w:br/>
      </w:r>
      <w:r>
        <w:rPr>
          <w:rStyle w:val="NormalTok"/>
        </w:rPr>
        <w:t xml:space="preserve">setspn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 MSSQLSvc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sqlhost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contoso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gov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1433</w:t>
      </w:r>
      <w:r>
        <w:rPr>
          <w:rStyle w:val="NormalTok"/>
        </w:rPr>
        <w:t xml:space="preserve"> CONTOSO\svc-sql</w:t>
      </w:r>
    </w:p>
    <w:bookmarkEnd w:id="24"/>
    <w:bookmarkStart w:id="25" w:name="repair-a-collision"/>
    <w:p>
      <w:pPr>
        <w:pStyle w:val="Heading3"/>
      </w:pPr>
      <w:r>
        <w:t xml:space="preserve">Repair a collision</w:t>
      </w:r>
    </w:p>
    <w:p>
      <w:pPr>
        <w:pStyle w:val="FirstParagraph"/>
      </w:pPr>
      <w:r>
        <w:t xml:space="preserve">From the</w:t>
      </w:r>
      <w:r>
        <w:t xml:space="preserve"> </w:t>
      </w:r>
      <w:r>
        <w:rPr>
          <w:rStyle w:val="VerbatimChar"/>
        </w:rPr>
        <w:t xml:space="preserve">*_remediation.csv</w:t>
      </w:r>
      <w:r>
        <w:t xml:space="preserve">, remove the SPN from the</w:t>
      </w:r>
      <w:r>
        <w:t xml:space="preserve"> </w:t>
      </w:r>
      <w:r>
        <w:rPr>
          <w:b/>
          <w:bCs/>
        </w:rPr>
        <w:t xml:space="preserve">disabled or wrong</w:t>
      </w:r>
      <w:r>
        <w:t xml:space="preserve"> </w:t>
      </w:r>
      <w:r>
        <w:t xml:space="preserve">account, leaving exactly one enabled owner:</w:t>
      </w:r>
    </w:p>
    <w:p>
      <w:pPr>
        <w:pStyle w:val="SourceCode"/>
      </w:pPr>
      <w:r>
        <w:rPr>
          <w:rStyle w:val="NormalTok"/>
        </w:rPr>
        <w:t xml:space="preserve">setspn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 MSSQLSvc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sqlhost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1433</w:t>
      </w:r>
      <w:r>
        <w:rPr>
          <w:rStyle w:val="NormalTok"/>
        </w:rPr>
        <w:t xml:space="preserve"> CONTOSO\old-or-disabled-account</w:t>
      </w:r>
    </w:p>
    <w:p>
      <w:pPr>
        <w:pStyle w:val="FirstParagraph"/>
      </w:pPr>
      <w:r>
        <w:t xml:space="preserve">A cross-object-type or 2+-enabled-account collision (severity CRITICAL) must be reduced to a single enabled owner before Kerberos will succeed.</w:t>
      </w:r>
    </w:p>
    <w:p>
      <w:pPr>
        <w:pStyle w:val="BodyText"/>
      </w:pPr>
      <w:r>
        <w:rPr>
          <w:b/>
          <w:bCs/>
        </w:rPr>
        <w:t xml:space="preserve">Available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New-FMPSpnRemediationPlan</w:t>
      </w:r>
      <w:r>
        <w:t xml:space="preserve"> </w:t>
      </w:r>
      <w:r>
        <w:t xml:space="preserve">(</w:t>
      </w:r>
      <w:r>
        <w:rPr>
          <w:rStyle w:val="VerbatimChar"/>
        </w:rPr>
        <w:t xml:space="preserve">tools/powershell/FMPSqlServerMigration/</w:t>
      </w:r>
      <w:r>
        <w:t xml:space="preserve">) consumes the Spec3-D1.7 collision report and derives this minimal action set per collision: a</w:t>
      </w:r>
      <w:r>
        <w:t xml:space="preserve"> </w:t>
      </w:r>
      <w:r>
        <w:rPr>
          <w:rStyle w:val="VerbatimChar"/>
        </w:rPr>
        <w:t xml:space="preserve">setspn -D</w:t>
      </w:r>
      <w:r>
        <w:t xml:space="preserve"> </w:t>
      </w:r>
      <w:r>
        <w:t xml:space="preserve">for each disabled/shadowing account, and — for a cross-object-type collision — a</w:t>
      </w:r>
      <w:r>
        <w:t xml:space="preserve"> </w:t>
      </w:r>
      <w:r>
        <w:rPr>
          <w:rStyle w:val="VerbatimChar"/>
        </w:rPr>
        <w:t xml:space="preserve">setspn -D</w:t>
      </w:r>
      <w:r>
        <w:t xml:space="preserve"> </w:t>
      </w:r>
      <w:r>
        <w:t xml:space="preserve">of the user-object SPN plus a workload-identity migration recommendation (the program decision). It can scope to</w:t>
      </w:r>
      <w:r>
        <w:t xml:space="preserve"> </w:t>
      </w:r>
      <w:r>
        <w:rPr>
          <w:rStyle w:val="VerbatimChar"/>
        </w:rPr>
        <w:t xml:space="preserve">MSSQLSvc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-ServiceClassFilter</w:t>
      </w:r>
      <w:r>
        <w:t xml:space="preserve"> </w:t>
      </w:r>
      <w:r>
        <w:t xml:space="preserve">and emit the safe</w:t>
      </w:r>
      <w:r>
        <w:t xml:space="preserve"> </w:t>
      </w:r>
      <w:r>
        <w:rPr>
          <w:rStyle w:val="VerbatimChar"/>
        </w:rPr>
        <w:t xml:space="preserve">setspn -S</w:t>
      </w:r>
      <w:r>
        <w:t xml:space="preserve"> </w:t>
      </w:r>
      <w:r>
        <w:t xml:space="preserve">registration preview for a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SPN. Every action carries</w:t>
      </w:r>
      <w:r>
        <w:t xml:space="preserve"> </w:t>
      </w:r>
      <w:r>
        <w:rPr>
          <w:rStyle w:val="VerbatimChar"/>
        </w:rPr>
        <w:t xml:space="preserve">mutating=true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requires_review=true</w:t>
      </w:r>
      <w:r>
        <w:t xml:space="preserve"> </w:t>
      </w:r>
      <w:r>
        <w:t xml:space="preserve">and a</w:t>
      </w:r>
      <w:r>
        <w:t xml:space="preserve"> </w:t>
      </w:r>
      <w:r>
        <w:rPr>
          <w:rStyle w:val="VerbatimChar"/>
        </w:rPr>
        <w:t xml:space="preserve">command_preview</w:t>
      </w:r>
      <w:r>
        <w:t xml:space="preserve">; the plan is the deliverable — it runs no</w:t>
      </w:r>
      <w:r>
        <w:t xml:space="preserve"> </w:t>
      </w:r>
      <w:r>
        <w:rPr>
          <w:rStyle w:val="VerbatimChar"/>
        </w:rPr>
        <w:t xml:space="preserve">setspn</w:t>
      </w:r>
      <w:r>
        <w:t xml:space="preserve">. (Canon: the program decision, the program decision, the directory modernization program §3.2.)</w:t>
      </w:r>
    </w:p>
    <w:bookmarkEnd w:id="25"/>
    <w:bookmarkStart w:id="26" w:name="linked-server-passthrough"/>
    <w:p>
      <w:pPr>
        <w:pStyle w:val="Heading3"/>
      </w:pPr>
      <w:r>
        <w:t xml:space="preserve">Linked-server passthrough</w:t>
      </w:r>
    </w:p>
    <w:p>
      <w:pPr>
        <w:pStyle w:val="FirstParagraph"/>
      </w:pPr>
      <w:r>
        <w:t xml:space="preserve">Replace passthrough/impersonated security with a defined security context (or migrate the linked server to its own Entra-authenticated path) so the hop does not silently negotiate NTLM. Re-audit with D1.8 (</w:t>
      </w:r>
      <w:r>
        <w:rPr>
          <w:rStyle w:val="VerbatimChar"/>
        </w:rPr>
        <w:t xml:space="preserve">LinkedServers</w:t>
      </w:r>
      <w:r>
        <w:t xml:space="preserve">) afterward.</w:t>
      </w:r>
    </w:p>
    <w:bookmarkEnd w:id="26"/>
    <w:bookmarkStart w:id="27" w:name="Xf5d21253535aa3505f4d07200be739aa975b600"/>
    <w:p>
      <w:pPr>
        <w:pStyle w:val="Heading3"/>
      </w:pPr>
      <w:r>
        <w:t xml:space="preserve">Phased Group Policy block (ties to the program decision)</w:t>
      </w:r>
    </w:p>
    <w:p>
      <w:pPr>
        <w:pStyle w:val="FirstParagraph"/>
      </w:pPr>
      <w:r>
        <w:t xml:space="preserve">NTLM elimination is sequenced, not a single cutover: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B — block NTLMv1.</w:t>
      </w:r>
      <w:r>
        <w:t xml:space="preserve"> </w:t>
      </w:r>
      <w:r>
        <w:t xml:space="preserve">Set</w:t>
      </w:r>
      <w:r>
        <w:t xml:space="preserve"> </w:t>
      </w:r>
      <w:r>
        <w:rPr>
          <w:i/>
          <w:iCs/>
        </w:rPr>
        <w:t xml:space="preserve">“Network security: LAN Manager authentication level”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“Send NTLMv2 response only. Refuse LM &amp; NTLM.”</w:t>
      </w:r>
      <w:r>
        <w:t xml:space="preserve"> </w:t>
      </w:r>
      <w:r>
        <w:t xml:space="preserve">This is the program’s own deterministic block; it runs ahead of Microsoft’s own NTLMv1-SSO enforcement default (which flips via Windows Update in October 2026), so the estate does not wait on the platform default.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B — restrict NTLMv2</w:t>
      </w:r>
      <w:r>
        <w:t xml:space="preserve"> </w:t>
      </w:r>
      <w:r>
        <w:t xml:space="preserve">to documented exception groups via Group Policy.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C — full block</w:t>
      </w:r>
      <w:r>
        <w:t xml:space="preserve"> </w:t>
      </w:r>
      <w:r>
        <w:t xml:space="preserve">at the program’s</w:t>
      </w:r>
      <w:r>
        <w:t xml:space="preserve"> </w:t>
      </w:r>
      <w:r>
        <w:rPr>
          <w:b/>
          <w:bCs/>
        </w:rPr>
        <w:t xml:space="preserve">2027-04-01</w:t>
      </w:r>
      <w:r>
        <w:t xml:space="preserve"> </w:t>
      </w:r>
      <w:r>
        <w:t xml:space="preserve">backstop (the program’s own planning date —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an external FedRAMP or Microsoft mandate; see narrative Book 06 and the program decision).</w:t>
      </w:r>
    </w:p>
    <w:p>
      <w:pPr>
        <w:pStyle w:val="FirstParagraph"/>
      </w:pPr>
      <w:r>
        <w:rPr>
          <w:b/>
          <w:bCs/>
        </w:rPr>
        <w:t xml:space="preserve">Available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Get-FMPNtlmGpoReport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tools/powershell/FMPSqlServerMigration/</w:t>
      </w:r>
      <w:r>
        <w:t xml:space="preserve">) reports each in-scope GPO’s NTLM-reduction posture against this phased plan — classifying it</w:t>
      </w:r>
      <w:r>
        <w:t xml:space="preserve"> </w:t>
      </w:r>
      <w:r>
        <w:rPr>
          <w:rStyle w:val="VerbatimChar"/>
        </w:rPr>
        <w:t xml:space="preserve">unconfigured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below_target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phase_b_ntlmv2_only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phase_c_full_block</w:t>
      </w:r>
      <w:r>
        <w:t xml:space="preserve"> </w:t>
      </w:r>
      <w:r>
        <w:t xml:space="preserve">from the LAN Manager authentication level and the Restrict NTLM settings — and records the 2027-04-01 date explicitly as the program backstop, not an external mandate. It is</w:t>
      </w:r>
      <w:r>
        <w:t xml:space="preserve"> </w:t>
      </w:r>
      <w:r>
        <w:rPr>
          <w:b/>
          <w:bCs/>
        </w:rPr>
        <w:t xml:space="preserve">read-only</w:t>
      </w:r>
      <w:r>
        <w:t xml:space="preserve">: it audits posture and never calls</w:t>
      </w:r>
      <w:r>
        <w:t xml:space="preserve"> </w:t>
      </w:r>
      <w:r>
        <w:rPr>
          <w:rStyle w:val="VerbatimChar"/>
        </w:rPr>
        <w:t xml:space="preserve">Set-GPRegistryValue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Set-GPO</w:t>
      </w:r>
      <w:r>
        <w:t xml:space="preserve">, so the phased enforcement stays a reviewed change.</w:t>
      </w:r>
    </w:p>
    <w:bookmarkEnd w:id="27"/>
    <w:bookmarkEnd w:id="28"/>
    <w:bookmarkStart w:id="29" w:name="verification-rollback"/>
    <w:p>
      <w:pPr>
        <w:pStyle w:val="Heading2"/>
      </w:pPr>
      <w:r>
        <w:t xml:space="preserve">Verification &amp; rollback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Verify Kerberos</w:t>
      </w:r>
      <w:r>
        <w:t xml:space="preserve"> </w:t>
      </w:r>
      <w:r>
        <w:t xml:space="preserve">after SPN work:</w:t>
      </w:r>
      <w:r>
        <w:t xml:space="preserve"> </w:t>
      </w:r>
      <w:r>
        <w:rPr>
          <w:rStyle w:val="VerbatimChar"/>
        </w:rPr>
        <w:t xml:space="preserve">klist purge</w:t>
      </w:r>
      <w:r>
        <w:t xml:space="preserve"> </w:t>
      </w:r>
      <w:r>
        <w:t xml:space="preserve">then connect, and</w:t>
      </w:r>
      <w:r>
        <w:t xml:space="preserve"> </w:t>
      </w:r>
      <w:r>
        <w:rPr>
          <w:rStyle w:val="VerbatimChar"/>
        </w:rPr>
        <w:t xml:space="preserve">klist</w:t>
      </w:r>
      <w:r>
        <w:t xml:space="preserve"> </w:t>
      </w:r>
      <w:r>
        <w:t xml:space="preserve">to confirm a</w:t>
      </w:r>
      <w:r>
        <w:t xml:space="preserve"> </w:t>
      </w:r>
      <w:r>
        <w:rPr>
          <w:rStyle w:val="VerbatimChar"/>
        </w:rPr>
        <w:t xml:space="preserve">MSSQLSvc</w:t>
      </w:r>
      <w:r>
        <w:t xml:space="preserve"> </w:t>
      </w:r>
      <w:r>
        <w:t xml:space="preserve">ticket was issued (no NTLM).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Re-run detection</w:t>
      </w:r>
      <w:r>
        <w:t xml:space="preserve">: D1.7 should report zero CRITICAL collisions; D1.8’s audit should show no NTLM fallback for the instance.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Rollback</w:t>
      </w:r>
      <w:r>
        <w:t xml:space="preserve">: SPNs are reversible (</w:t>
      </w:r>
      <w:r>
        <w:rPr>
          <w:rStyle w:val="VerbatimChar"/>
        </w:rPr>
        <w:t xml:space="preserve">setspn -D</w:t>
      </w:r>
      <w:r>
        <w:t xml:space="preserve"> </w:t>
      </w:r>
      <w:r>
        <w:t xml:space="preserve">/ re-add); GPO changes revert by restoring the prior LAN Manager level. Because the GPO block is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step, the earlier Kerberos fixes can be validated long before anything is refused.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Companion to narrative Book 06. Detection scripts: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tools/discovery/Spec1-D1.5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Spec3-D1.7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Spec1-D1.4</w:t>
      </w:r>
      <w:r>
        <w:rPr>
          <w:i/>
          <w:iCs/>
        </w:rPr>
        <w:t xml:space="preserve">. Remediation planning (shipped, audit-first, enforces nothing):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tools/powershell/FMPSqlServerMigration/</w:t>
      </w:r>
      <w:r>
        <w:rPr>
          <w:i/>
          <w:iCs/>
        </w:rPr>
        <w:t xml:space="preserve"> </w:t>
      </w:r>
      <w:r>
        <w:rPr>
          <w:i/>
          <w:iCs/>
        </w:rPr>
        <w:t xml:space="preserve">(</w:t>
      </w:r>
      <w:r>
        <w:rPr>
          <w:rStyle w:val="VerbatimChar"/>
          <w:i/>
          <w:iCs/>
        </w:rPr>
        <w:t xml:space="preserve">New-FMPSpnRemediationPlan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Get-FMPNtlmGpoReport</w:t>
      </w:r>
      <w:r>
        <w:rPr>
          <w:i/>
          <w:iCs/>
        </w:rPr>
        <w:t xml:space="preserve">); the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setspn</w:t>
      </w:r>
      <w:r>
        <w:rPr>
          <w:i/>
          <w:iCs/>
        </w:rPr>
        <w:t xml:space="preserve"> </w:t>
      </w:r>
      <w:r>
        <w:rPr>
          <w:i/>
          <w:iCs/>
        </w:rPr>
        <w:t xml:space="preserve">/ GPO changes themselves stay review-required. Canon: the program decision, the program decision, the directory modernization program §3.2.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12" Target="Book_06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Book_06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Book 06 — NTLM Detection &amp; Remediation</dc:title>
  <dc:creator/>
  <dc:description>How to find and remove NTLM at the SQL layer. Documents the detection scripts that already exist (Spec1-D1.5 SPN inventory, Spec3-D1.7 SPN-collision report, Spec1-D1.4 authentication-protocol audit) with their parameters and outputs, then gives the review-required remediation patterns — SPN registration, collision repair, linked-server fixes, and the phased Group Policy NTLM block — sequenced against the program’s 2027-04-01 backstop.</dc:description>
  <cp:keywords/>
  <dcterms:created xsi:type="dcterms:W3CDTF">2026-10-19T10:11:36Z</dcterms:created>
  <dcterms:modified xsi:type="dcterms:W3CDTF">2026-10-19T10:11:36Z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src/fmp/canon/the directory modernization program</vt:lpwstr>
  </property>
  <property fmtid="{D5CDD505-2E9C-101B-9397-08002B2CF9AE}" pid="5" name="doc-type">
    <vt:lpwstr>sql-server-implementation-book</vt:lpwstr>
  </property>
  <property fmtid="{D5CDD505-2E9C-101B-9397-08002B2CF9AE}" pid="6" name="family">
    <vt:lpwstr>sql-server-implementation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6</vt:lpwstr>
  </property>
  <property fmtid="{D5CDD505-2E9C-101B-9397-08002B2CF9AE}" pid="14" name="status">
    <vt:lpwstr>active</vt:lpwstr>
  </property>
  <property fmtid="{D5CDD505-2E9C-101B-9397-08002B2CF9AE}" pid="15" name="subtitle">
    <vt:lpwstr>Detect every NTLM-generating pattern with the real SPN and protocol audits, then work the review-required remediation runbook to Kerberos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