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Implementation Book 07 — Groups, Administrative Units &amp; the Conditional Access Perimeter</w:t>
      </w:r>
    </w:p>
    <w:p>
      <w:pPr>
        <w:pStyle w:val="Subtitle"/>
      </w:pPr>
      <w:r>
        <w:t xml:space="preserve">Inventory the AD groups behind SQL access with the real Entra group export, classify them by the the program decision four-type taxonomy with New-FMPEntraGroupClassification, then provision attribute-based dynamic groups and the DBA Administrative Unit and emit the group-logins — review-required, dry-run first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1" w:name="X75e59a02fb62dec1c599d032805626e3b3e97c1"/>
    <w:p>
      <w:pPr>
        <w:pStyle w:val="Heading1"/>
      </w:pPr>
      <w:r>
        <w:t xml:space="preserve">Implementation Book 07 — Groups, Administrative Units &amp; the Conditional Access Perimeter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Book_07.docx</w:t>
              </w:r>
            </w:hyperlink>
            <w:r>
              <w:t xml:space="preserve"> </w:t>
            </w:r>
            <w:r>
              <w:t xml:space="preserve">— this entire book as a single Word document, images included.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Companion to</w:t>
            </w:r>
            <w:r>
              <w:t xml:space="preserve"> </w:t>
            </w:r>
            <w:r>
              <w:rPr>
                <w:b/>
                <w:bCs/>
              </w:rPr>
              <w:t xml:space="preserve">narrative Book 07</w:t>
            </w:r>
            <w:r>
              <w:t xml:space="preserve">. The narrative explains why the group-based access model survives the migration but its lifecycle and outer boundary do not; this book is the runbook.</w:t>
            </w:r>
            <w:r>
              <w:t xml:space="preserve"> </w:t>
            </w:r>
            <w:r>
              <w:rPr>
                <w:b/>
                <w:bCs/>
              </w:rPr>
              <w:t xml:space="preserve">Inventory is read-only and script-backed. Provisioning groups, Administrative Units, and SQL group-logins changes production</w:t>
            </w:r>
            <w:r>
              <w:t xml:space="preserve"> </w:t>
            </w:r>
            <w:r>
              <w:t xml:space="preserve">and is review-required throughout — dry-run /</w:t>
            </w:r>
            <w:r>
              <w:t xml:space="preserve"> </w:t>
            </w:r>
            <w:r>
              <w:rPr>
                <w:rStyle w:val="VerbatimChar"/>
              </w:rPr>
              <w:t xml:space="preserve">-WhatIf</w:t>
            </w:r>
            <w:r>
              <w:t xml:space="preserve"> </w:t>
            </w:r>
            <w:r>
              <w:t xml:space="preserve">first, capture the planned change, route through change control. (the program decision, the program decision, the program decision, the program decision)</w:t>
            </w:r>
          </w:p>
          <w:p/>
        </w:tc>
      </w:tr>
    </w:tbl>
    <w:bookmarkStart w:id="16" w:name="the-two-phases"/>
    <w:p>
      <w:pPr>
        <w:pStyle w:val="Heading2"/>
      </w:pPr>
      <w:r>
        <w:t xml:space="preserve">The two phases</w:t>
      </w:r>
    </w:p>
    <w:p>
      <w:pPr>
        <w:pStyle w:val="FirstParagraph"/>
      </w:pPr>
      <w:r>
        <w:t xml:space="preserve">Access-control transformation is inventory-then-provision.</w:t>
      </w:r>
      <w:r>
        <w:t xml:space="preserve"> </w:t>
      </w:r>
      <w:r>
        <w:rPr>
          <w:b/>
          <w:bCs/>
        </w:rPr>
        <w:t xml:space="preserve">Inventory</w:t>
      </w:r>
      <w:r>
        <w:t xml:space="preserve"> </w:t>
      </w:r>
      <w:r>
        <w:t xml:space="preserve">the AD groups that gate SQL access and the Entra objects that already exist (read-only, shipped scripts).</w:t>
      </w:r>
      <w:r>
        <w:t xml:space="preserve"> </w:t>
      </w:r>
      <w:r>
        <w:rPr>
          <w:b/>
          <w:bCs/>
        </w:rPr>
        <w:t xml:space="preserve">Provision</w:t>
      </w:r>
      <w:r>
        <w:t xml:space="preserve"> </w:t>
      </w:r>
      <w:r>
        <w:t xml:space="preserve">the Entra targets — attribute-based dynamic groups, the assigned groups, the DBA Administrative Unit — and bind each access-bearing group to a SQL Server type-E login (review-required, no big-bang).</w:t>
      </w:r>
    </w:p>
    <w:bookmarkEnd w:id="16"/>
    <w:bookmarkStart w:id="20" w:name="Xd667ec94793539d2fa1dffdfd0339eec68eee53"/>
    <w:p>
      <w:pPr>
        <w:pStyle w:val="Heading2"/>
      </w:pPr>
      <w:r>
        <w:t xml:space="preserve">Phase 1 — Inventory (read-only, script-backed)</w:t>
      </w:r>
    </w:p>
    <w:bookmarkStart w:id="17" w:name="X04e1266c4f23f9057f2276e40e45ec9004f2342"/>
    <w:p>
      <w:pPr>
        <w:pStyle w:val="Heading3"/>
      </w:pPr>
      <w:r>
        <w:rPr>
          <w:rStyle w:val="VerbatimChar"/>
        </w:rPr>
        <w:t xml:space="preserve">Export-FMPEntraGroups</w:t>
      </w:r>
      <w:r>
        <w:t xml:space="preserve"> </w:t>
      </w:r>
      <w:r>
        <w:t xml:space="preserve">— the Entra group inventory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FMPIdentityAssessment</w:t>
      </w:r>
      <w:r>
        <w:t xml:space="preserve"> </w:t>
      </w:r>
      <w:r>
        <w:t xml:space="preserve">module (</w:t>
      </w:r>
      <w:r>
        <w:rPr>
          <w:rStyle w:val="VerbatimChar"/>
        </w:rPr>
        <w:t xml:space="preserve">tools/powershell/FMPIdentityAssessment/</w:t>
      </w:r>
      <w:r>
        <w:t xml:space="preserve">) ships</w:t>
      </w:r>
      <w:r>
        <w:t xml:space="preserve"> </w:t>
      </w:r>
      <w:r>
        <w:rPr>
          <w:rStyle w:val="VerbatimChar"/>
        </w:rPr>
        <w:t xml:space="preserve">Export-FMPEntraGroups</w:t>
      </w:r>
      <w:r>
        <w:t xml:space="preserve">, which inventories Entra groups and memberships into a sealed evidence envelope. It reads live via</w:t>
      </w:r>
      <w:r>
        <w:t xml:space="preserve"> </w:t>
      </w:r>
      <w:r>
        <w:rPr>
          <w:rStyle w:val="VerbatimChar"/>
        </w:rPr>
        <w:t xml:space="preserve">Get-MgGroup</w:t>
      </w:r>
      <w:r>
        <w:t xml:space="preserve"> </w:t>
      </w:r>
      <w:r>
        <w:t xml:space="preserve">or replays a</w:t>
      </w:r>
      <w:r>
        <w:t xml:space="preserve"> </w:t>
      </w:r>
      <w:r>
        <w:rPr>
          <w:rStyle w:val="VerbatimChar"/>
        </w:rPr>
        <w:t xml:space="preserve">-SnapshotPath</w:t>
      </w:r>
      <w:r>
        <w:t xml:space="preserve">, so it runs offline against an export.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Parameter</w:t>
            </w:r>
          </w:p>
        </w:tc>
        <w:tc>
          <w:tcPr/>
          <w:p>
            <w:pPr>
              <w:pStyle w:val="Compact"/>
            </w:pPr>
            <w:r>
              <w:t xml:space="preserve">Purpose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-TenantId</w:t>
            </w:r>
          </w:p>
        </w:tc>
        <w:tc>
          <w:tcPr/>
          <w:p>
            <w:pPr>
              <w:pStyle w:val="Compact"/>
            </w:pPr>
            <w:r>
              <w:t xml:space="preserve">Target tenant (live mode)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-SnapshotPath</w:t>
            </w:r>
          </w:p>
        </w:tc>
        <w:tc>
          <w:tcPr/>
          <w:p>
            <w:pPr>
              <w:pStyle w:val="Compact"/>
            </w:pPr>
            <w:r>
              <w:t xml:space="preserve">Replay a captured Graph export instead of querying live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-IncludeDynamic</w:t>
            </w:r>
          </w:p>
        </w:tc>
        <w:tc>
          <w:tcPr/>
          <w:p>
            <w:pPr>
              <w:pStyle w:val="Compact"/>
            </w:pPr>
            <w:r>
              <w:t xml:space="preserve">Capture the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membershipRule</w:t>
            </w:r>
            <w:r>
              <w:t xml:space="preserve"> </w:t>
            </w:r>
            <w:r>
              <w:t xml:space="preserve">for dynamic groups (and flag them); without it dynamic groups are listed but the rule is omitted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-OutputPath</w:t>
            </w:r>
          </w:p>
        </w:tc>
        <w:tc>
          <w:tcPr/>
          <w:p>
            <w:pPr>
              <w:pStyle w:val="Compact"/>
            </w:pPr>
            <w:r>
              <w:t xml:space="preserve">Where the sealed envelope is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-Cloud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-GraphApiVersion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-GraphEndpoint</w:t>
            </w:r>
          </w:p>
        </w:tc>
        <w:tc>
          <w:tcPr/>
          <w:p>
            <w:pPr>
              <w:pStyle w:val="Compact"/>
            </w:pPr>
            <w:r>
              <w:t xml:space="preserve">Cloud-aware endpoint resolution (GCC-Moderate uses the cloud-correct Graph base via</w:t>
            </w:r>
            <w:r>
              <w:t xml:space="preserve"> </w:t>
            </w:r>
            <w:r>
              <w:rPr>
                <w:rStyle w:val="VerbatimChar"/>
              </w:rPr>
              <w:t xml:space="preserve">Resolve-FMPGraphBase</w:t>
            </w:r>
            <w:r>
              <w:t xml:space="preserve">)</w:t>
            </w:r>
          </w:p>
        </w:tc>
      </w:tr>
    </w:tbl>
    <w:p>
      <w:pPr>
        <w:pStyle w:val="BodyText"/>
      </w:pPr>
      <w:r>
        <w:t xml:space="preserve">Each record carries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display_name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is_dynamic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security_enabled</w:t>
      </w:r>
      <w:r>
        <w:t xml:space="preserve">,</w:t>
      </w:r>
      <w:r>
        <w:t xml:space="preserve"> </w:t>
      </w:r>
      <w:r>
        <w:rPr>
          <w:rStyle w:val="VerbatimChar"/>
          <w:b/>
          <w:bCs/>
        </w:rPr>
        <w:t xml:space="preserve">mail_enabled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membership_rule</w:t>
      </w:r>
      <w:r>
        <w:t xml:space="preserve"> </w:t>
      </w:r>
      <w:r>
        <w:t xml:space="preserve">(when</w:t>
      </w:r>
      <w:r>
        <w:t xml:space="preserve"> </w:t>
      </w:r>
      <w:r>
        <w:rPr>
          <w:rStyle w:val="VerbatimChar"/>
        </w:rPr>
        <w:t xml:space="preserve">-IncludeDynamic</w:t>
      </w:r>
      <w:r>
        <w:t xml:space="preserve"> </w:t>
      </w:r>
      <w:r>
        <w:t xml:space="preserve">and dynamic),</w:t>
      </w:r>
      <w:r>
        <w:t xml:space="preserve"> </w:t>
      </w:r>
      <w:r>
        <w:rPr>
          <w:rStyle w:val="VerbatimChar"/>
        </w:rPr>
        <w:t xml:space="preserve">member_count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source_fields</w:t>
      </w:r>
      <w:r>
        <w:t xml:space="preserve">. Those three flags are exactly the signal the the program decision classification needs:</w:t>
      </w:r>
      <w:r>
        <w:t xml:space="preserve"> </w:t>
      </w:r>
      <w:r>
        <w:rPr>
          <w:rStyle w:val="VerbatimChar"/>
        </w:rPr>
        <w:t xml:space="preserve">security_enabled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mail_enabled</w:t>
      </w:r>
      <w:r>
        <w:t xml:space="preserve"> </w:t>
      </w:r>
      <w:r>
        <w:t xml:space="preserve">together distinguish the four types, and</w:t>
      </w:r>
      <w:r>
        <w:t xml:space="preserve"> </w:t>
      </w:r>
      <w:r>
        <w:rPr>
          <w:rStyle w:val="VerbatimChar"/>
        </w:rPr>
        <w:t xml:space="preserve">is_dynamic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membership_rule</w:t>
      </w:r>
      <w:r>
        <w:t xml:space="preserve"> </w:t>
      </w:r>
      <w:r>
        <w:t xml:space="preserve">show whether a group is already attribute-driven.</w:t>
      </w:r>
    </w:p>
    <w:p>
      <w:pPr>
        <w:pStyle w:val="SourceCode"/>
      </w:pPr>
      <w:r>
        <w:rPr>
          <w:rStyle w:val="FunctionTok"/>
        </w:rPr>
        <w:t xml:space="preserve">Import-Module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tools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powershell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FMPIdentityAssessment</w:t>
      </w:r>
      <w:r>
        <w:br/>
      </w:r>
      <w:r>
        <w:rPr>
          <w:rStyle w:val="CommentTok"/>
        </w:rPr>
        <w:t xml:space="preserve"># Live, with dynamic membership rules captured — read-only</w:t>
      </w:r>
      <w:r>
        <w:br/>
      </w:r>
      <w:r>
        <w:rPr>
          <w:rStyle w:val="NormalTok"/>
        </w:rPr>
        <w:t xml:space="preserve">Export-FMPEntraGroups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TenantId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tenant-guid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IncludeDynamic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  <w:r>
        <w:br/>
      </w:r>
      <w:r>
        <w:rPr>
          <w:rStyle w:val="CommentTok"/>
        </w:rPr>
        <w:t xml:space="preserve"># Or offline against a captured snapshot</w:t>
      </w:r>
      <w:r>
        <w:br/>
      </w:r>
      <w:r>
        <w:rPr>
          <w:rStyle w:val="NormalTok"/>
        </w:rPr>
        <w:t xml:space="preserve">Export-FMPEntraGroups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SnapshotPath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\snapshots\groups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IncludeDynamic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</w:t>
      </w:r>
    </w:p>
    <w:bookmarkEnd w:id="17"/>
    <w:bookmarkStart w:id="18" w:name="Xd8887329d49dda580635095f2a472287e661b28"/>
    <w:p>
      <w:pPr>
        <w:pStyle w:val="Heading3"/>
      </w:pPr>
      <w:r>
        <w:rPr>
          <w:rStyle w:val="VerbatimChar"/>
        </w:rPr>
        <w:t xml:space="preserve">Export-FMPConditionalAccess</w:t>
      </w:r>
      <w:r>
        <w:t xml:space="preserve"> </w:t>
      </w:r>
      <w:r>
        <w:t xml:space="preserve">— the perimeter inventory</w:t>
      </w:r>
    </w:p>
    <w:p>
      <w:pPr>
        <w:pStyle w:val="FirstParagraph"/>
      </w:pPr>
      <w:r>
        <w:t xml:space="preserve">The same module ships</w:t>
      </w:r>
      <w:r>
        <w:t xml:space="preserve"> </w:t>
      </w:r>
      <w:r>
        <w:rPr>
          <w:rStyle w:val="VerbatimChar"/>
        </w:rPr>
        <w:t xml:space="preserve">Export-FMPConditionalAccess</w:t>
      </w:r>
      <w:r>
        <w:t xml:space="preserve"> </w:t>
      </w:r>
      <w:r>
        <w:t xml:space="preserve">(live</w:t>
      </w:r>
      <w:r>
        <w:t xml:space="preserve"> </w:t>
      </w:r>
      <w:r>
        <w:rPr>
          <w:rStyle w:val="VerbatimChar"/>
        </w:rPr>
        <w:t xml:space="preserve">Get-MgIdentityConditionalAccessPolicy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-SnapshotPath</w:t>
      </w:r>
      <w:r>
        <w:t xml:space="preserve">), emitting per-policy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display_name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. Use it to confirm the Conditional Access posture that will become the SQL access perimeter once every login is type-E — the narrative’s binary outer boundary. (the program decision)</w:t>
      </w:r>
    </w:p>
    <w:bookmarkEnd w:id="18"/>
    <w:bookmarkStart w:id="19" w:name="X4ef5c9418905f62ab1a5c127c923fe2613d4ba2"/>
    <w:p>
      <w:pPr>
        <w:pStyle w:val="Heading3"/>
      </w:pPr>
      <w:r>
        <w:t xml:space="preserve">Mapping to the the program decision four-type taxonomy</w:t>
      </w:r>
    </w:p>
    <w:p>
      <w:pPr>
        <w:pStyle w:val="FirstParagraph"/>
      </w:pPr>
      <w:r>
        <w:t xml:space="preserve">Narrative Book 07 Chapter 1 classifies every migrating AD security group into one of four types; the group inventory flags drive the triage: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the program decision type</w:t>
            </w:r>
          </w:p>
        </w:tc>
        <w:tc>
          <w:tcPr/>
          <w:p>
            <w:pPr>
              <w:pStyle w:val="Compact"/>
            </w:pPr>
            <w:r>
              <w:t xml:space="preserve">Inventory signal</w:t>
            </w:r>
          </w:p>
        </w:tc>
        <w:tc>
          <w:tcPr/>
          <w:p>
            <w:pPr>
              <w:pStyle w:val="Compact"/>
            </w:pPr>
            <w:r>
              <w:t xml:space="preserve">Entra target</w:t>
            </w:r>
          </w:p>
        </w:tc>
        <w:tc>
          <w:tcPr/>
          <w:p>
            <w:pPr>
              <w:pStyle w:val="Compact"/>
            </w:pPr>
            <w:r>
              <w:t xml:space="preserve">SQL consequence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Type 1 — OU-derived</w:t>
            </w:r>
          </w:p>
        </w:tc>
        <w:tc>
          <w:tcPr/>
          <w:p>
            <w:pPr>
              <w:pStyle w:val="Compact"/>
            </w:pPr>
            <w:r>
              <w:t xml:space="preserve">security-enabled, organizational naming</w:t>
            </w:r>
          </w:p>
        </w:tc>
        <w:tc>
          <w:tcPr/>
          <w:p>
            <w:pPr>
              <w:pStyle w:val="Compact"/>
            </w:pPr>
            <w:r>
              <w:t xml:space="preserve">attribute-based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security group (the program decision)</w:t>
            </w:r>
          </w:p>
        </w:tc>
        <w:tc>
          <w:tcPr/>
          <w:p>
            <w:pPr>
              <w:pStyle w:val="Compact"/>
            </w:pPr>
            <w:r>
              <w:t xml:space="preserve">type-E login for the group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Type 2 — explicit role-assignment</w:t>
            </w:r>
          </w:p>
        </w:tc>
        <w:tc>
          <w:tcPr/>
          <w:p>
            <w:pPr>
              <w:pStyle w:val="Compact"/>
            </w:pPr>
            <w:r>
              <w:t xml:space="preserve">security-enabled, no org-derivation</w:t>
            </w:r>
          </w:p>
        </w:tc>
        <w:tc>
          <w:tcPr/>
          <w:p>
            <w:pPr>
              <w:pStyle w:val="Compact"/>
            </w:pPr>
            <w:r>
              <w:t xml:space="preserve">flattened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security group</w:t>
            </w:r>
          </w:p>
        </w:tc>
        <w:tc>
          <w:tcPr/>
          <w:p>
            <w:pPr>
              <w:pStyle w:val="Compact"/>
            </w:pPr>
            <w:r>
              <w:t xml:space="preserve">type-E login for the group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Type 3 — distribution list</w:t>
            </w:r>
          </w:p>
        </w:tc>
        <w:tc>
          <w:tcPr/>
          <w:p>
            <w:pPr>
              <w:pStyle w:val="Compact"/>
            </w:pPr>
            <w:r>
              <w:t xml:space="preserve">mail-enabled, security</w:t>
            </w:r>
            <w:r>
              <w:t xml:space="preserve"> </w:t>
            </w:r>
            <w:r>
              <w:rPr>
                <w:b/>
                <w:bCs/>
              </w:rPr>
              <w:t xml:space="preserve">off</w:t>
            </w:r>
          </w:p>
        </w:tc>
        <w:tc>
          <w:tcPr/>
          <w:p>
            <w:pPr>
              <w:pStyle w:val="Compact"/>
            </w:pPr>
            <w:r>
              <w:t xml:space="preserve">Microsoft 365 Group (</w:t>
            </w:r>
            <w:r>
              <w:rPr>
                <w:rStyle w:val="VerbatimChar"/>
              </w:rPr>
              <w:t xml:space="preserve">securityEnabled: false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SQL login</w:t>
            </w:r>
            <w:r>
              <w:t xml:space="preserve"> </w:t>
            </w:r>
            <w:r>
              <w:t xml:space="preserve">— Agent operator email only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Type 4 — mail-enabled security</w:t>
            </w:r>
          </w:p>
        </w:tc>
        <w:tc>
          <w:tcPr/>
          <w:p>
            <w:pPr>
              <w:pStyle w:val="Compact"/>
            </w:pPr>
            <w:r>
              <w:t xml:space="preserve">security</w:t>
            </w:r>
            <w: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t xml:space="preserve"> </w:t>
            </w:r>
            <w:r>
              <w:t xml:space="preserve">mail enabled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split</w:t>
            </w:r>
            <w:r>
              <w:t xml:space="preserve">: M365 Group (mail) + assigned security group (access), correlated by an extension attribute</w:t>
            </w:r>
          </w:p>
        </w:tc>
        <w:tc>
          <w:tcPr/>
          <w:p>
            <w:pPr>
              <w:pStyle w:val="Compact"/>
            </w:pPr>
            <w:r>
              <w:t xml:space="preserve">type-E login on the security half only</w:t>
            </w:r>
          </w:p>
        </w:tc>
      </w:tr>
    </w:tbl>
    <w:p>
      <w:pPr>
        <w:pStyle w:val="BodyText"/>
      </w:pPr>
      <w:r>
        <w:rPr>
          <w:rStyle w:val="VerbatimChar"/>
          <w:b/>
          <w:bCs/>
        </w:rPr>
        <w:t xml:space="preserve">New-FMPEntraGroupClassification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is the deterministic type-assignment pass over the envelope. It reads the</w:t>
      </w:r>
      <w:r>
        <w:t xml:space="preserve"> </w:t>
      </w:r>
      <w:r>
        <w:rPr>
          <w:rStyle w:val="VerbatimChar"/>
        </w:rPr>
        <w:t xml:space="preserve">Export-FMPEntraGroups</w:t>
      </w:r>
      <w:r>
        <w:t xml:space="preserve"> </w:t>
      </w:r>
      <w:r>
        <w:t xml:space="preserve">output and assigns each group exactly one the program decision type from its observable shape (</w:t>
      </w:r>
      <w:r>
        <w:rPr>
          <w:rStyle w:val="VerbatimChar"/>
        </w:rPr>
        <w:t xml:space="preserve">groupTypes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mail_enabled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security_enabled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membership_rule</w:t>
      </w:r>
      <w:r>
        <w:t xml:space="preserve">), attaching each group’s target state, transformation, provisioning adapter, and a</w:t>
      </w:r>
      <w:r>
        <w:t xml:space="preserve"> </w:t>
      </w:r>
      <w:r>
        <w:rPr>
          <w:rStyle w:val="VerbatimChar"/>
        </w:rPr>
        <w:t xml:space="preserve">becomes_sql_login</w:t>
      </w:r>
      <w:r>
        <w:t xml:space="preserve"> </w:t>
      </w:r>
      <w:r>
        <w:t xml:space="preserve">flag (true for the access-backing types — assigned security, dynamic, and the access half of a mail-enabled split). A group with no usable signal lands in</w:t>
      </w:r>
      <w:r>
        <w:t xml:space="preserve"> </w:t>
      </w:r>
      <w:r>
        <w:rPr>
          <w:rStyle w:val="VerbatimChar"/>
        </w:rPr>
        <w:t xml:space="preserve">review</w:t>
      </w:r>
      <w:r>
        <w:t xml:space="preserve"> </w:t>
      </w:r>
      <w:r>
        <w:t xml:space="preserve">rather than being mis-typed.</w:t>
      </w:r>
    </w:p>
    <w:p>
      <w:pPr>
        <w:pStyle w:val="SourceCode"/>
      </w:pPr>
      <w:r>
        <w:rPr>
          <w:rStyle w:val="FunctionTok"/>
        </w:rPr>
        <w:t xml:space="preserve">Import-Module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./</w:t>
      </w:r>
      <w:r>
        <w:rPr>
          <w:rStyle w:val="NormalTok"/>
        </w:rPr>
        <w:t xml:space="preserve">tools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powershell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FMPSqlServerMigration</w:t>
      </w:r>
      <w:r>
        <w:br/>
      </w:r>
      <w:r>
        <w:rPr>
          <w:rStyle w:val="NormalTok"/>
        </w:rPr>
        <w:t xml:space="preserve">New-FMPEntraGroupClassification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GroupExportPath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\output\entra-groups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\output\group-classification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</w:p>
    <w:p>
      <w:pPr>
        <w:pStyle w:val="FirstParagraph"/>
      </w:pPr>
      <w:r>
        <w:t xml:space="preserve">It is</w:t>
      </w:r>
      <w:r>
        <w:t xml:space="preserve"> </w:t>
      </w:r>
      <w:r>
        <w:rPr>
          <w:b/>
          <w:bCs/>
        </w:rPr>
        <w:t xml:space="preserve">read-only derivation</w:t>
      </w:r>
      <w:r>
        <w:t xml:space="preserve"> </w:t>
      </w:r>
      <w:r>
        <w:t xml:space="preserve">over the reviewed export — it reads no live directory and writes only the sealed classification, which is the input both the provisioning adapters and the group-login emitter consume.</w:t>
      </w:r>
    </w:p>
    <w:bookmarkEnd w:id="19"/>
    <w:bookmarkEnd w:id="20"/>
    <w:bookmarkStart w:id="28" w:name="phase-2-provision-review-required"/>
    <w:p>
      <w:pPr>
        <w:pStyle w:val="Heading2"/>
      </w:pPr>
      <w:r>
        <w:t xml:space="preserve">Phase 2 — Provision (review-required)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These change production identity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Creating Entra groups, dynamic-membership rules, Administrative Units, scoped role assignments, and SQL Server type-E group-logins all alter live access control. Provision through the modernization adapters in</w:t>
            </w:r>
            <w:r>
              <w:t xml:space="preserve"> </w:t>
            </w:r>
            <w:r>
              <w:rPr>
                <w:b/>
                <w:bCs/>
              </w:rPr>
              <w:t xml:space="preserve">dry-run</w:t>
            </w:r>
            <w:r>
              <w:t xml:space="preserve"> </w:t>
            </w:r>
            <w:r>
              <w:t xml:space="preserve">(their default), review the planned writes, then apply through change control. Microsoft Graph writes resolve the cloud-correct endpoint via</w:t>
            </w:r>
            <w:r>
              <w:t xml:space="preserve"> </w:t>
            </w:r>
            <w:r>
              <w:rPr>
                <w:rStyle w:val="VerbatimChar"/>
              </w:rPr>
              <w:t xml:space="preserve">resolve_graph_base</w:t>
            </w:r>
            <w:r>
              <w:t xml:space="preserve"> </w:t>
            </w:r>
            <w:r>
              <w:t xml:space="preserve">(GCC-Moderate per the program decision) and require the</w:t>
            </w:r>
            <w:r>
              <w:t xml:space="preserve"> </w:t>
            </w:r>
            <w:r>
              <w:rPr>
                <w:rStyle w:val="VerbatimChar"/>
              </w:rPr>
              <w:t xml:space="preserve">[api]</w:t>
            </w:r>
            <w:r>
              <w:t xml:space="preserve"> </w:t>
            </w:r>
            <w:r>
              <w:t xml:space="preserve">extra (AGENTS.md).</w:t>
            </w:r>
          </w:p>
          <w:p/>
        </w:tc>
      </w:tr>
    </w:tbl>
    <w:bookmarkStart w:id="24" w:name="sequencing-the-au-comes-first"/>
    <w:p>
      <w:pPr>
        <w:pStyle w:val="Heading3"/>
      </w:pPr>
      <w:r>
        <w:t xml:space="preserve">Sequencing — the AU comes first</w:t>
      </w:r>
    </w:p>
    <w:p>
      <w:pPr>
        <w:pStyle w:val="FirstParagraph"/>
      </w:pPr>
      <w:r>
        <w:t xml:space="preserve">the program decision makes Administrative Unit provisioning a</w:t>
      </w:r>
      <w:r>
        <w:t xml:space="preserve"> </w:t>
      </w:r>
      <w:r>
        <w:rPr>
          <w:b/>
          <w:bCs/>
        </w:rPr>
        <w:t xml:space="preserve">prerequisite</w:t>
      </w:r>
      <w:r>
        <w:t xml:space="preserve"> </w:t>
      </w:r>
      <w:r>
        <w:t xml:space="preserve">for the Type 2 explicit-role group migration: a Type 2 group can only be managed under least privilege after the AU and its scoped role assignment exist. The order is fixed: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Provision the DBA Administrative Unit</w:t>
      </w:r>
      <w:r>
        <w:t xml:space="preserve"> </w:t>
      </w:r>
      <w:r>
        <w:t xml:space="preserve">(confirmed restricted-management, so a Global Admin cannot bypass the division-level delegation).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Establish the scoped role assignment</w:t>
      </w:r>
      <w:r>
        <w:t xml:space="preserve"> </w:t>
      </w:r>
      <w:r>
        <w:t xml:space="preserve">(User Administrator scoped to that AU) for the DBA team lead.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Create the access groups inside the already-scoped boundary</w:t>
      </w:r>
      <w:r>
        <w:t xml:space="preserve"> </w:t>
      </w:r>
      <w:r>
        <w:t xml:space="preserve">and bind their SQL Server type-E logins.</w:t>
      </w:r>
    </w:p>
    <w:p>
      <w:pPr>
        <w:pStyle w:val="FirstParagraph"/>
      </w:pPr>
      <w:r>
        <w:t xml:space="preserve">Provisioning the AU before the groups it will hold avoids the transitional window in which new Entra groups exist but only a tenant-wide administrator can manage them — the exact concentration of privilege the exercise removes.</w:t>
      </w:r>
    </w:p>
    <w:bookmarkEnd w:id="24"/>
    <w:bookmarkStart w:id="25" w:name="X9ae5db0a66b7e32ec8a10641fbef9f0fd59f663"/>
    <w:p>
      <w:pPr>
        <w:pStyle w:val="Heading3"/>
      </w:pPr>
      <w:r>
        <w:t xml:space="preserve">Provision the DBA Administrative Unit (entra-admin-units / FMP_154)</w:t>
      </w:r>
    </w:p>
    <w:p>
      <w:pPr>
        <w:pStyle w:val="FirstParagraph"/>
      </w:pPr>
      <w:r>
        <w:t xml:space="preserve">The Administrative Unit is provisioned through the</w:t>
      </w:r>
      <w:r>
        <w:t xml:space="preserve"> </w:t>
      </w:r>
      <w:r>
        <w:rPr>
          <w:rStyle w:val="VerbatimChar"/>
          <w:b/>
          <w:bCs/>
        </w:rPr>
        <w:t xml:space="preserve">entra-admin-units</w:t>
      </w:r>
      <w:r>
        <w:t xml:space="preserve"> </w:t>
      </w:r>
      <w:r>
        <w:t xml:space="preserve">modernization adapter (FMP_154 in</w:t>
      </w:r>
      <w:r>
        <w:t xml:space="preserve"> </w:t>
      </w:r>
      <w:r>
        <w:rPr>
          <w:rStyle w:val="VerbatimChar"/>
        </w:rPr>
        <w:t xml:space="preserve">src/fmp/canon/modernization-registry.yaml</w:t>
      </w:r>
      <w:r>
        <w:t xml:space="preserve">), aligned to the organizational boundary the DBA team owns so the delegation boundary and the access boundary describe the same scope. the program decision’s restricted-management invariant and cross-canon integrity checks (which reject an AU whose referenced groups or attribute values do not resolve to live canon) are enforced by the adapter. Run it dry-run first, review the planned AU and the scoped assignment, then apply.</w:t>
      </w:r>
    </w:p>
    <w:bookmarkEnd w:id="25"/>
    <w:bookmarkStart w:id="26" w:name="X588725d7fd26835e714fec3c7d086f12bccc6a8"/>
    <w:p>
      <w:pPr>
        <w:pStyle w:val="Heading3"/>
      </w:pPr>
      <w:r>
        <w:t xml:space="preserve">Provision attribute-based dynamic groups (entra-dynamic-groups / FMP_152)</w:t>
      </w:r>
    </w:p>
    <w:p>
      <w:pPr>
        <w:pStyle w:val="FirstParagraph"/>
      </w:pPr>
      <w:r>
        <w:t xml:space="preserve">Type 1 (OU-derived) groups become dynamic security groups whose</w:t>
      </w:r>
      <w:r>
        <w:t xml:space="preserve"> </w:t>
      </w:r>
      <w:r>
        <w:rPr>
          <w:rStyle w:val="VerbatimChar"/>
        </w:rPr>
        <w:t xml:space="preserve">membershipRule</w:t>
      </w:r>
      <w:r>
        <w:t xml:space="preserve"> </w:t>
      </w:r>
      <w:r>
        <w:t xml:space="preserve">references organizational extension attributes — provisioned through the</w:t>
      </w:r>
      <w:r>
        <w:t xml:space="preserve"> </w:t>
      </w:r>
      <w:r>
        <w:rPr>
          <w:rStyle w:val="VerbatimChar"/>
          <w:b/>
          <w:bCs/>
        </w:rPr>
        <w:t xml:space="preserve">entra-dynamic-groups</w:t>
      </w:r>
      <w:r>
        <w:t xml:space="preserve"> </w:t>
      </w:r>
      <w:r>
        <w:t xml:space="preserve">modernization adapter (FMP_152). Attribute values are populated by the HR-synchronization pipeline, not managed by hand, so migrating a Type 1 group is two things: confirm the attribute infrastructure is in place, and author the rule that expresses the original group’s organizational logic — for example</w:t>
      </w:r>
      <w:r>
        <w:t xml:space="preserve"> </w:t>
      </w:r>
      <w:r>
        <w:rPr>
          <w:rStyle w:val="VerbatimChar"/>
        </w:rPr>
        <w:t xml:space="preserve">(user.department -eq "Finance") -and (user.jobTitle -contains "DBA")</w:t>
      </w:r>
      <w:r>
        <w:t xml:space="preserve">. Validate the rule against the captured inventory before applying. (the program decision)</w:t>
      </w:r>
    </w:p>
    <w:p>
      <w:pPr>
        <w:pStyle w:val="BodyText"/>
      </w:pPr>
      <w:r>
        <w:t xml:space="preserve">Type 2 (explicit-role) groups are flat</w:t>
      </w:r>
      <w:r>
        <w:t xml:space="preserve"> </w:t>
      </w:r>
      <w:r>
        <w:rPr>
          <w:b/>
          <w:bCs/>
        </w:rPr>
        <w:t xml:space="preserve">assigned</w:t>
      </w:r>
      <w:r>
        <w:t xml:space="preserve"> </w:t>
      </w:r>
      <w:r>
        <w:t xml:space="preserve">security groups: create the group, populate from the AD source members, and manage membership thereafter through the AU-scoped role assignment rather than a helpdesk ticket. Type 3 (distribution lists) become mail-only M365 Groups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SQL login — only the SQL Agent operator’s notification address is repointed. Type 4 (mail-enabled security) splits into the two-object pattern, correlated by an extension attribute recorded in the migration audit.</w:t>
      </w:r>
    </w:p>
    <w:bookmarkEnd w:id="26"/>
    <w:bookmarkStart w:id="27" w:name="X3bc91c00614f68892e765f7de25bf43d2129758"/>
    <w:p>
      <w:pPr>
        <w:pStyle w:val="Heading3"/>
      </w:pPr>
      <w:r>
        <w:t xml:space="preserve">Bind the group to a SQL Server type-E login</w:t>
      </w:r>
    </w:p>
    <w:p>
      <w:pPr>
        <w:pStyle w:val="FirstParagraph"/>
      </w:pPr>
      <w:r>
        <w:t xml:space="preserve">Each access-bearing group (Types 1, 2, and the security half of 4) is bound to a SQL Server type-E login — the same</w:t>
      </w:r>
      <w:r>
        <w:t xml:space="preserve"> </w:t>
      </w:r>
      <w:r>
        <w:rPr>
          <w:rStyle w:val="VerbatimChar"/>
        </w:rPr>
        <w:t xml:space="preserve">FROM EXTERNAL PROVIDER</w:t>
      </w:r>
      <w:r>
        <w:t xml:space="preserve"> </w:t>
      </w:r>
      <w:r>
        <w:t xml:space="preserve">mechanism Book 05 documents, but for the</w:t>
      </w:r>
      <w:r>
        <w:t xml:space="preserve"> </w:t>
      </w:r>
      <w:r>
        <w:rPr>
          <w:b/>
          <w:bCs/>
        </w:rPr>
        <w:t xml:space="preserve">group</w:t>
      </w:r>
      <w:r>
        <w:t xml:space="preserve">, which is the preferred target because it removes per-user churn:</w:t>
      </w:r>
    </w:p>
    <w:p>
      <w:pPr>
        <w:pStyle w:val="SourceCode"/>
      </w:pPr>
      <w:r>
        <w:rPr>
          <w:rStyle w:val="CommentTok"/>
        </w:rPr>
        <w:t xml:space="preserve">-- Group-based type-E login (review-required; preconditions per Book 05 — SQL 2022+, Arc, validated token)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EXISTS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sys.server_principals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StringTok"/>
        </w:rPr>
        <w:t xml:space="preserve">'sql-app-readers'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LOGIN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app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readers]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EXTERNAL PROVIDER;</w:t>
      </w:r>
      <w:r>
        <w:br/>
      </w:r>
      <w:r>
        <w:rPr>
          <w:rStyle w:val="NormalTok"/>
        </w:rPr>
        <w:t xml:space="preserve">GO</w:t>
      </w:r>
      <w:r>
        <w:br/>
      </w:r>
      <w:r>
        <w:rPr>
          <w:rStyle w:val="CommentTok"/>
        </w:rPr>
        <w:t xml:space="preserve">-- Map the database user and grant the role the AD group previously held</w:t>
      </w:r>
      <w:r>
        <w:br/>
      </w:r>
      <w:r>
        <w:rPr>
          <w:rStyle w:val="KeywordTok"/>
        </w:rPr>
        <w:t xml:space="preserve">USE</w:t>
      </w:r>
      <w:r>
        <w:rPr>
          <w:rStyle w:val="NormalTok"/>
        </w:rPr>
        <w:t xml:space="preserve"> [AppDb];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USER</w:t>
      </w:r>
      <w:r>
        <w:rPr>
          <w:rStyle w:val="NormalTok"/>
        </w:rPr>
        <w:t xml:space="preserve">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app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readers]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LOGIN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app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readers];</w:t>
      </w:r>
      <w:r>
        <w:br/>
      </w:r>
      <w:r>
        <w:rPr>
          <w:rStyle w:val="KeywordTok"/>
        </w:rPr>
        <w:t xml:space="preserve">ALTER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ROLE</w:t>
      </w:r>
      <w:r>
        <w:rPr>
          <w:rStyle w:val="NormalTok"/>
        </w:rPr>
        <w:t xml:space="preserve"> [db_datareader] </w:t>
      </w:r>
      <w:r>
        <w:rPr>
          <w:rStyle w:val="KeywordTok"/>
        </w:rPr>
        <w:t xml:space="preserve">ADD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[sql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app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readers];</w:t>
      </w:r>
    </w:p>
    <w:p>
      <w:pPr>
        <w:pStyle w:val="FirstParagraph"/>
      </w:pPr>
      <w:r>
        <w:rPr>
          <w:rStyle w:val="VerbatimChar"/>
          <w:b/>
          <w:bCs/>
        </w:rPr>
        <w:t xml:space="preserve">New-FMPGroupLoginScript</w:t>
      </w:r>
      <w:r>
        <w:t xml:space="preserve"> </w:t>
      </w:r>
      <w:r>
        <w:t xml:space="preserve">(</w:t>
      </w:r>
      <w:r>
        <w:rPr>
          <w:rStyle w:val="VerbatimChar"/>
        </w:rPr>
        <w:t xml:space="preserve">tools/powershell/FMPSqlServerMigration/</w:t>
      </w:r>
      <w:r>
        <w:t xml:space="preserve">) generates these statements from the the program decision-classified inventory, idempotent and dry-run, the way Book 05 generates per-principal logins from the audit CSV. It emits a</w:t>
      </w:r>
      <w:r>
        <w:t xml:space="preserve"> </w:t>
      </w:r>
      <w:r>
        <w:rPr>
          <w:rStyle w:val="VerbatimChar"/>
        </w:rPr>
        <w:t xml:space="preserve">CREATE LOGIN ... FROM EXTERNAL PROVIDER</w:t>
      </w:r>
      <w:r>
        <w:t xml:space="preserve"> </w:t>
      </w:r>
      <w:r>
        <w:t xml:space="preserve">only for groups whose</w:t>
      </w:r>
      <w:r>
        <w:t xml:space="preserve"> </w:t>
      </w:r>
      <w:r>
        <w:rPr>
          <w:rStyle w:val="VerbatimChar"/>
        </w:rPr>
        <w:t xml:space="preserve">becomes_sql_login</w:t>
      </w:r>
      <w:r>
        <w:t xml:space="preserve"> </w:t>
      </w:r>
      <w:r>
        <w:t xml:space="preserve">flag is true; mail-only distribution / Unified groups and</w:t>
      </w:r>
      <w:r>
        <w:t xml:space="preserve"> </w:t>
      </w:r>
      <w:r>
        <w:rPr>
          <w:rStyle w:val="VerbatimChar"/>
        </w:rPr>
        <w:t xml:space="preserve">review</w:t>
      </w:r>
      <w:r>
        <w:t xml:space="preserve"> </w:t>
      </w:r>
      <w:r>
        <w:t xml:space="preserve">groups appear as commented-out lines, so a distribution list can never become a SQL login. Like Book 05’s emitter it has no</w:t>
      </w:r>
      <w:r>
        <w:t xml:space="preserve"> </w:t>
      </w:r>
      <w:r>
        <w:rPr>
          <w:rStyle w:val="VerbatimChar"/>
        </w:rPr>
        <w:t xml:space="preserve">-Server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-Execute</w:t>
      </w:r>
      <w:r>
        <w:t xml:space="preserve"> </w:t>
      </w:r>
      <w:r>
        <w:t xml:space="preserve">surface — it opens no SQL connection and the script is the deliverable.</w:t>
      </w:r>
    </w:p>
    <w:p>
      <w:pPr>
        <w:pStyle w:val="SourceCode"/>
      </w:pPr>
      <w:r>
        <w:rPr>
          <w:rStyle w:val="NormalTok"/>
        </w:rPr>
        <w:t xml:space="preserve">New-FMPGroupLoginScript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ClassificationPath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\output\group-classification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OutputPath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\output\create-group-logins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sql</w:t>
      </w:r>
    </w:p>
    <w:p>
      <w:pPr>
        <w:pStyle w:val="FirstParagraph"/>
      </w:pPr>
      <w:r>
        <w:t xml:space="preserve">The database-user mapping and role grant above (the</w:t>
      </w:r>
      <w:r>
        <w:t xml:space="preserve"> </w:t>
      </w:r>
      <w:r>
        <w:rPr>
          <w:rStyle w:val="VerbatimChar"/>
        </w:rPr>
        <w:t xml:space="preserve">USE [AppDb]; CREATE USER ...; ALTER ROLE ...</w:t>
      </w:r>
      <w:r>
        <w:t xml:space="preserve"> </w:t>
      </w:r>
      <w:r>
        <w:t xml:space="preserve">block) stays a review-required, per-database step: which database role each group inherits is a grant decision the emitter deliberately leaves to change control.</w:t>
      </w:r>
    </w:p>
    <w:bookmarkEnd w:id="27"/>
    <w:bookmarkEnd w:id="28"/>
    <w:bookmarkStart w:id="29" w:name="verification-rollback"/>
    <w:p>
      <w:pPr>
        <w:pStyle w:val="Heading2"/>
      </w:pPr>
      <w:r>
        <w:t xml:space="preserve">Verification &amp; rollback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Verify dynamic membership</w:t>
      </w:r>
      <w:r>
        <w:t xml:space="preserve"> </w:t>
      </w:r>
      <w:r>
        <w:t xml:space="preserve">resolved correctly: confirm expected principals appear in the dynamic group before binding any SQL login to it (a too-broad rule grants SQL access too broadly).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Verify the AU boundary</w:t>
      </w:r>
      <w:r>
        <w:t xml:space="preserve">: the scoped role assignment can manage members of groups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AU and is denied on groups outside it and on tenant-level identity actions.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Verify the perimeter</w:t>
      </w:r>
      <w:r>
        <w:t xml:space="preserve">: a connection from a non-compliant device or outside Named Locations is denied a token (re-run</w:t>
      </w:r>
      <w:r>
        <w:t xml:space="preserve"> </w:t>
      </w:r>
      <w:r>
        <w:rPr>
          <w:rStyle w:val="VerbatimChar"/>
        </w:rPr>
        <w:t xml:space="preserve">Export-FMPConditionalAccess</w:t>
      </w:r>
      <w:r>
        <w:t xml:space="preserve"> </w:t>
      </w:r>
      <w:r>
        <w:t xml:space="preserve">to confirm the policy state covers the SQL resource).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Rollback</w:t>
      </w:r>
      <w:r>
        <w:t xml:space="preserve">: Entra groups, dynamic rules, and AUs created by the adapters are reversible (delete the object / revert the rule); the SQL group-login is reversible by</w:t>
      </w:r>
      <w:r>
        <w:t xml:space="preserve"> </w:t>
      </w:r>
      <w:r>
        <w:rPr>
          <w:rStyle w:val="VerbatimChar"/>
        </w:rPr>
        <w:t xml:space="preserve">DROP LOGIN</w:t>
      </w:r>
      <w:r>
        <w:t xml:space="preserve"> </w:t>
      </w:r>
      <w:r>
        <w:t xml:space="preserve">once no user depends on it. Because the AU is restricted and provisioned first, the delegation can be validated long before any group lands inside it.</w:t>
      </w:r>
    </w:p>
    <w:bookmarkEnd w:id="29"/>
    <w:bookmarkStart w:id="30" w:name="the-perimeter-dividend"/>
    <w:p>
      <w:pPr>
        <w:pStyle w:val="Heading2"/>
      </w:pPr>
      <w:r>
        <w:t xml:space="preserve">The perimeter dividend</w:t>
      </w:r>
    </w:p>
    <w:p>
      <w:pPr>
        <w:pStyle w:val="FirstParagraph"/>
      </w:pPr>
      <w:r>
        <w:t xml:space="preserve">Once every SQL login is a type-E login backed by an Entra principal, Conditional Access becomes the binary outer perimeter for all SQL access — device compliance, Named Locations, sign-in risk — and a single surviving Windows-backed login is a bypass path around all of it. That is why Book 09’s closure conditions include MFA-via-Conditional-Access for every human principal, and why the group transformation here is a precondition for the zero-trust posture, not a cosmetic relabeling. (the program decision)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Companion to narrative Book 07. Inventory script-backed: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tools/powershell/FMPIdentityAssessment</w:t>
      </w:r>
      <w:r>
        <w:rPr>
          <w:i/>
          <w:iCs/>
        </w:rPr>
        <w:t xml:space="preserve"> </w:t>
      </w:r>
      <w:r>
        <w:rPr>
          <w:i/>
          <w:iCs/>
        </w:rPr>
        <w:t xml:space="preserve">(</w:t>
      </w:r>
      <w:r>
        <w:rPr>
          <w:rStyle w:val="VerbatimChar"/>
          <w:i/>
          <w:iCs/>
        </w:rPr>
        <w:t xml:space="preserve">Export-FMPEntraGroups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Export-FMPConditionalAccess</w:t>
      </w:r>
      <w:r>
        <w:rPr>
          <w:i/>
          <w:iCs/>
        </w:rPr>
        <w:t xml:space="preserve">). Classification + group-login emission: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tools/powershell/FMPSqlServerMigration</w:t>
      </w:r>
      <w:r>
        <w:rPr>
          <w:i/>
          <w:iCs/>
        </w:rPr>
        <w:t xml:space="preserve"> </w:t>
      </w:r>
      <w:r>
        <w:rPr>
          <w:i/>
          <w:iCs/>
        </w:rPr>
        <w:t xml:space="preserve">(</w:t>
      </w:r>
      <w:r>
        <w:rPr>
          <w:rStyle w:val="VerbatimChar"/>
          <w:i/>
          <w:iCs/>
        </w:rPr>
        <w:t xml:space="preserve">New-FMPEntraGroupClassification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New-FMPGroupLoginScript</w:t>
      </w:r>
      <w:r>
        <w:rPr>
          <w:i/>
          <w:iCs/>
        </w:rPr>
        <w:t xml:space="preserve">). Provisioning via the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entra-admin-units</w:t>
      </w:r>
      <w:r>
        <w:rPr>
          <w:i/>
          <w:iCs/>
        </w:rPr>
        <w:t xml:space="preserve"> </w:t>
      </w:r>
      <w:r>
        <w:rPr>
          <w:i/>
          <w:iCs/>
        </w:rPr>
        <w:t xml:space="preserve">(FMP_154) and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entra-dynamic-groups</w:t>
      </w:r>
      <w:r>
        <w:rPr>
          <w:i/>
          <w:iCs/>
        </w:rPr>
        <w:t xml:space="preserve"> </w:t>
      </w:r>
      <w:r>
        <w:rPr>
          <w:i/>
          <w:iCs/>
        </w:rPr>
        <w:t xml:space="preserve">(FMP_152) modernization adapters — review-required. Canon: the program decision, the program decision, the program decision, the program decision, the directory modernization program §3.2.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12" Target="Book_07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Book_07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Implementation Book 07 — Groups, Administrative Units &amp; the Conditional Access Perimeter</dc:title>
  <dc:creator/>
  <dc:description>How to transform the access-control layer of SQL Server from AD groups to Entra. Documents the shipped read-only inventory (FMPIdentityAssessment Export-FMPEntraGroups / Export-FMPConditionalAccess, including dynamic-rule capture), the the program decision four-type classification New-FMPEntraGroupClassification derives from it, and New-FMPGroupLoginScript, which emits the dry-run CREATE LOGIN FROM EXTERNAL PROVIDER for the access-backing groups — then the review-required provisioning patterns routed through the entra-dynamic-groups (FMP_152) and entra-admin-units (FMP_154) modernization adapters, with the AU-before-groups sequencing the program decision requires.</dc:description>
  <cp:keywords/>
  <dcterms:created xsi:type="dcterms:W3CDTF">2026-10-19T10:11:37Z</dcterms:created>
  <dcterms:modified xsi:type="dcterms:W3CDTF">2026-10-19T10:11:37Z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canon-source">
    <vt:lpwstr>src/fmp/canon/the directory modernization program</vt:lpwstr>
  </property>
  <property fmtid="{D5CDD505-2E9C-101B-9397-08002B2CF9AE}" pid="5" name="doc-type">
    <vt:lpwstr>sql-server-implementation-book</vt:lpwstr>
  </property>
  <property fmtid="{D5CDD505-2E9C-101B-9397-08002B2CF9AE}" pid="6" name="family">
    <vt:lpwstr>sql-server-implementation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lifecycle">
    <vt:lpwstr>active</vt:lpwstr>
  </property>
  <property fmtid="{D5CDD505-2E9C-101B-9397-08002B2CF9AE}" pid="12" name="lifecycle_review">
    <vt:lpwstr>2027-01-01</vt:lpwstr>
  </property>
  <property fmtid="{D5CDD505-2E9C-101B-9397-08002B2CF9AE}" pid="13" name="series-order">
    <vt:lpwstr>7</vt:lpwstr>
  </property>
  <property fmtid="{D5CDD505-2E9C-101B-9397-08002B2CF9AE}" pid="14" name="status">
    <vt:lpwstr>active</vt:lpwstr>
  </property>
  <property fmtid="{D5CDD505-2E9C-101B-9397-08002B2CF9AE}" pid="15" name="subtitle">
    <vt:lpwstr>Inventory the AD groups behind SQL access with the real Entra group export, classify them by the the program decision four-type taxonomy with New-FMPEntraGroupClassification, then provision attribute-based dynamic groups and the DBA Administrative Unit and emit the group-logins — review-required, dry-run first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