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Implementation Book 08 — The Application Chain &amp; Connection-String Migration</w:t>
      </w:r>
    </w:p>
    <w:p>
      <w:pPr>
        <w:pStyle w:val="Subtitle"/>
      </w:pPr>
      <w:r>
        <w:t xml:space="preserve">Inventory the LDAP-bind dependency with the real Spec3-D1.9 audit, correlate and classify each SQL-consuming application by the the program decision four-class taxonomy with New-FMPAppConnectionPlan, then run the review-required connection-string change that removes the stored credential — the last mile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0" w:name="X2d1a236e635637070131a41fcdd960033c2d31c"/>
    <w:p>
      <w:pPr>
        <w:pStyle w:val="Heading1"/>
      </w:pPr>
      <w:r>
        <w:t xml:space="preserve">Implementation Book 08 — The Application Chain &amp; Connection-String Migration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Book_08.docx</w:t>
              </w:r>
            </w:hyperlink>
            <w:r>
              <w:t xml:space="preserve"> </w:t>
            </w:r>
            <w:r>
              <w:t xml:space="preserve">— this entire book as a single Word document, images included. Regenerated on every site deploy.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Companion to</w:t>
            </w:r>
            <w:r>
              <w:t xml:space="preserve"> </w:t>
            </w:r>
            <w:r>
              <w:rPr>
                <w:b/>
                <w:bCs/>
              </w:rPr>
              <w:t xml:space="preserve">narrative Book 08</w:t>
            </w:r>
            <w:r>
              <w:t xml:space="preserve">. The narrative explains why an application that migrated its user auth to Entra but still reaches SQL with a stored service-account credential has not finished; this book is the runbook.</w:t>
            </w:r>
            <w:r>
              <w:t xml:space="preserve"> </w:t>
            </w:r>
            <w:r>
              <w:rPr>
                <w:b/>
                <w:bCs/>
              </w:rPr>
              <w:t xml:space="preserve">The LDAP-bind inventory is read-only and script-backed. The connection-string change touches production</w:t>
            </w:r>
            <w:r>
              <w:t xml:space="preserve"> </w:t>
            </w:r>
            <w:r>
              <w:t xml:space="preserve">and is review-required — tested against a production-equivalent stack first, then cut over through change control. (the program decision, the program decision)</w:t>
            </w:r>
          </w:p>
          <w:p/>
        </w:tc>
      </w:tr>
    </w:tbl>
    <w:bookmarkStart w:id="16" w:name="the-chain-has-two-tracks"/>
    <w:p>
      <w:pPr>
        <w:pStyle w:val="Heading2"/>
      </w:pPr>
      <w:r>
        <w:t xml:space="preserve">The chain has two tracks</w:t>
      </w:r>
    </w:p>
    <w:p>
      <w:pPr>
        <w:pStyle w:val="FirstParagraph"/>
      </w:pPr>
      <w:r>
        <w:t xml:space="preserve">Every SQL-consuming application carries two independent migration tracks: the</w:t>
      </w:r>
      <w:r>
        <w:t xml:space="preserve"> </w:t>
      </w:r>
      <w:r>
        <w:rPr>
          <w:b/>
          <w:bCs/>
        </w:rPr>
        <w:t xml:space="preserve">user-authentication</w:t>
      </w:r>
      <w:r>
        <w:t xml:space="preserve"> </w:t>
      </w:r>
      <w:r>
        <w:t xml:space="preserve">track (how the user proves identity to the application) and the</w:t>
      </w:r>
      <w:r>
        <w:t xml:space="preserve"> </w:t>
      </w:r>
      <w:r>
        <w:rPr>
          <w:b/>
          <w:bCs/>
        </w:rPr>
        <w:t xml:space="preserve">SQL-connection</w:t>
      </w:r>
      <w:r>
        <w:t xml:space="preserve"> </w:t>
      </w:r>
      <w:r>
        <w:t xml:space="preserve">track (how the application proves identity to the database). This book is the SQL-connection track — the last mile — with the application classification that determines how it is sequenced.</w:t>
      </w:r>
    </w:p>
    <w:bookmarkEnd w:id="16"/>
    <w:bookmarkStart w:id="20" w:name="Xe66a916b1d6813a9a3d5391cbc88696f8f2abef"/>
    <w:p>
      <w:pPr>
        <w:pStyle w:val="Heading2"/>
      </w:pPr>
      <w:r>
        <w:t xml:space="preserve">Phase 1 — Inventory the LDAP-bind dependency (read-only, script-backed)</w:t>
      </w:r>
    </w:p>
    <w:bookmarkStart w:id="17" w:name="Xff9d2d269520fc7de861615586a3568511fc1e0"/>
    <w:p>
      <w:pPr>
        <w:pStyle w:val="Heading3"/>
      </w:pPr>
      <w:r>
        <w:rPr>
          <w:rStyle w:val="VerbatimChar"/>
        </w:rPr>
        <w:t xml:space="preserve">Spec3-D1.9-Get-LDAPBindAccountInventory.ps1</w:t>
      </w:r>
    </w:p>
    <w:p>
      <w:pPr>
        <w:pStyle w:val="FirstParagraph"/>
      </w:pPr>
      <w:r>
        <w:t xml:space="preserve">The shipped audit ([</w:t>
      </w:r>
      <w:r>
        <w:rPr>
          <w:rStyle w:val="VerbatimChar"/>
        </w:rPr>
        <w:t xml:space="preserve">tools/discovery/</w:t>
      </w:r>
      <w:r>
        <w:t xml:space="preserve">]) discovers the accounts performing LDAP binds against Active Directory — the hidden dependency layer invisible to SPN-based discovery. It is read-only.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Parameter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-OutputPath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.\output</w:t>
            </w:r>
          </w:p>
        </w:tc>
        <w:tc>
          <w:tcPr/>
          <w:p>
            <w:pPr>
              <w:pStyle w:val="Compact"/>
            </w:pPr>
            <w:r>
              <w:t xml:space="preserve">JSON + CSV output directory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-DomainController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Target a specific DC for event-log queries; auto-discovery if omitted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-SearchBase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Optional AD search base (DN)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-D1InputFile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Spec3-D1.1 service-account scan JSON, for cross-reference/enrichment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-EventLogHours</w:t>
            </w:r>
          </w:p>
        </w:tc>
        <w:tc>
          <w:tcPr/>
          <w:p>
            <w:pPr>
              <w:pStyle w:val="Compact"/>
            </w:pPr>
            <w:r>
              <w:t xml:space="preserve">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168</w:t>
            </w:r>
          </w:p>
        </w:tc>
        <w:tc>
          <w:tcPr/>
          <w:p>
            <w:pPr>
              <w:pStyle w:val="Compact"/>
            </w:pPr>
            <w:r>
              <w:t xml:space="preserve">Hours of event-log history to analyze (7 days)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-IncludeDCLogs</w:t>
            </w:r>
          </w:p>
        </w:tc>
        <w:tc>
          <w:tcPr/>
          <w:p>
            <w:pPr>
              <w:pStyle w:val="Compact"/>
            </w:pPr>
            <w:r>
              <w:t xml:space="preserve">switch</w:t>
            </w:r>
          </w:p>
        </w:tc>
        <w:tc>
          <w:tcPr/>
          <w:p>
            <w:pPr>
              <w:pStyle w:val="Compact"/>
            </w:pPr>
            <w:r>
              <w:t xml:space="preserve">off</w:t>
            </w:r>
          </w:p>
        </w:tc>
        <w:tc>
          <w:tcPr/>
          <w:p>
            <w:pPr>
              <w:pStyle w:val="Compact"/>
            </w:pPr>
            <w:r>
              <w:t xml:space="preserve">Query Security event logs on DCs for LDAP bind events (4624 logon-type-8, 2889 unsigned bind, 2887 signing stats)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-FirewallLogPath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Optional firewall/netflow CSV for network-based discovery (DC ports 389/636/3268/3269)</w:t>
            </w:r>
          </w:p>
        </w:tc>
      </w:tr>
    </w:tbl>
    <w:p>
      <w:pPr>
        <w:pStyle w:val="BodyText"/>
      </w:pPr>
      <w:r>
        <w:rPr>
          <w:b/>
          <w:bCs/>
        </w:rPr>
        <w:t xml:space="preserve">Discovery methods:</w:t>
      </w:r>
      <w:r>
        <w:t xml:space="preserve"> </w:t>
      </w:r>
      <w:r>
        <w:t xml:space="preserve">account-attribute heuristics (password-never-expires + no SPN; name/description patterns</w:t>
      </w:r>
      <w:r>
        <w:t xml:space="preserve"> </w:t>
      </w:r>
      <w:r>
        <w:rPr>
          <w:rStyle w:val="VerbatimChar"/>
        </w:rPr>
        <w:t xml:space="preserve">ldap</w:t>
      </w:r>
      <w:r>
        <w:t xml:space="preserve">/</w:t>
      </w:r>
      <w:r>
        <w:rPr>
          <w:rStyle w:val="VerbatimChar"/>
        </w:rPr>
        <w:t xml:space="preserve">bind</w:t>
      </w:r>
      <w:r>
        <w:t xml:space="preserve">/</w:t>
      </w:r>
      <w:r>
        <w:rPr>
          <w:rStyle w:val="VerbatimChar"/>
        </w:rPr>
        <w:t xml:space="preserve">svc</w:t>
      </w:r>
      <w:r>
        <w:t xml:space="preserve">/</w:t>
      </w:r>
      <w:r>
        <w:rPr>
          <w:rStyle w:val="VerbatimChar"/>
        </w:rPr>
        <w:t xml:space="preserve">app</w:t>
      </w:r>
      <w:r>
        <w:t xml:space="preserve">/</w:t>
      </w:r>
      <w:r>
        <w:rPr>
          <w:rStyle w:val="VerbatimChar"/>
        </w:rPr>
        <w:t xml:space="preserve">connector</w:t>
      </w:r>
      <w:r>
        <w:t xml:space="preserve">; service-account OUs with no computer object), AD audit-log analysis (the event IDs above), optional netflow/firewall parsing, and optional DC LDAP diagnostic logging — cross-referenced against the D1.1 service-account scan.</w:t>
      </w:r>
    </w:p>
    <w:bookmarkEnd w:id="17"/>
    <w:bookmarkStart w:id="18" w:name="output-schema"/>
    <w:p>
      <w:pPr>
        <w:pStyle w:val="Heading3"/>
      </w:pPr>
      <w:r>
        <w:t xml:space="preserve">Output schema</w:t>
      </w:r>
    </w:p>
    <w:p>
      <w:pPr>
        <w:pStyle w:val="FirstParagraph"/>
      </w:pPr>
      <w:r>
        <w:t xml:space="preserve">Under</w:t>
      </w:r>
      <w:r>
        <w:t xml:space="preserve"> </w:t>
      </w:r>
      <w:r>
        <w:rPr>
          <w:rStyle w:val="VerbatimChar"/>
        </w:rPr>
        <w:t xml:space="preserve">-OutputPath</w:t>
      </w:r>
      <w:r>
        <w:t xml:space="preserve">: a</w:t>
      </w:r>
      <w:r>
        <w:t xml:space="preserve"> </w:t>
      </w:r>
      <w:r>
        <w:rPr>
          <w:rStyle w:val="VerbatimChar"/>
        </w:rPr>
        <w:t xml:space="preserve">*_LDAPBindAccountInventory*.json</w:t>
      </w:r>
      <w:r>
        <w:t xml:space="preserve"> </w:t>
      </w:r>
      <w:r>
        <w:t xml:space="preserve">(</w:t>
      </w:r>
      <w:r>
        <w:rPr>
          <w:rStyle w:val="VerbatimChar"/>
        </w:rPr>
        <w:t xml:space="preserve">Summary</w:t>
      </w:r>
      <w:r>
        <w:t xml:space="preserve"> </w:t>
      </w:r>
      <w:r>
        <w:t xml:space="preserve">+ the account array) and</w:t>
      </w:r>
      <w:r>
        <w:t xml:space="preserve"> </w:t>
      </w:r>
      <w:r>
        <w:rPr>
          <w:rStyle w:val="VerbatimChar"/>
        </w:rPr>
        <w:t xml:space="preserve">*_accounts.csv</w:t>
      </w:r>
      <w:r>
        <w:t xml:space="preserve">. Each account record carries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DistinguishedName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DisplayName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PasswordNeverExpires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PasswordAgeDays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DaysSinceLogon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DiscoveryMethod</w:t>
      </w:r>
      <w:r>
        <w:t xml:space="preserve">,</w:t>
      </w:r>
      <w:r>
        <w:t xml:space="preserve"> </w:t>
      </w:r>
      <w:r>
        <w:rPr>
          <w:rStyle w:val="VerbatimChar"/>
          <w:b/>
          <w:bCs/>
        </w:rPr>
        <w:t xml:space="preserve">LDAPBindConfidence</w:t>
      </w:r>
      <w:r>
        <w:t xml:space="preserve"> </w:t>
      </w:r>
      <w:r>
        <w:t xml:space="preserve">(0–100),</w:t>
      </w:r>
      <w:r>
        <w:t xml:space="preserve"> </w:t>
      </w:r>
      <w:r>
        <w:rPr>
          <w:rStyle w:val="VerbatimChar"/>
          <w:b/>
          <w:bCs/>
        </w:rPr>
        <w:t xml:space="preserve">RiskClassification</w:t>
      </w:r>
      <w:r>
        <w:t xml:space="preserve"> </w:t>
      </w:r>
      <w:r>
        <w:t xml:space="preserve">(Critical / High / Medium / Low),</w:t>
      </w:r>
      <w:r>
        <w:t xml:space="preserve"> </w:t>
      </w:r>
      <w:r>
        <w:rPr>
          <w:rStyle w:val="VerbatimChar"/>
          <w:b/>
          <w:bCs/>
        </w:rPr>
        <w:t xml:space="preserve">BindType</w:t>
      </w:r>
      <w:r>
        <w:t xml:space="preserve"> </w:t>
      </w:r>
      <w:r>
        <w:t xml:space="preserve">(Simple / SASL / Anonymous; cleartext vs unsigned where event logs are available),</w:t>
      </w:r>
      <w:r>
        <w:t xml:space="preserve"> </w:t>
      </w:r>
      <w:r>
        <w:rPr>
          <w:rStyle w:val="VerbatimChar"/>
        </w:rPr>
        <w:t xml:space="preserve">BindSecurity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SourceApplication</w:t>
      </w:r>
      <w:r>
        <w:t xml:space="preserve">,</w:t>
      </w:r>
      <w:r>
        <w:t xml:space="preserve"> </w:t>
      </w:r>
      <w:r>
        <w:rPr>
          <w:rStyle w:val="VerbatimChar"/>
          <w:b/>
          <w:bCs/>
        </w:rPr>
        <w:t xml:space="preserve">MigrationTarget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RemediationPriority</w:t>
      </w:r>
      <w:r>
        <w:t xml:space="preserve">. The</w:t>
      </w:r>
      <w:r>
        <w:t xml:space="preserve"> </w:t>
      </w:r>
      <w:r>
        <w:rPr>
          <w:rStyle w:val="VerbatimChar"/>
        </w:rPr>
        <w:t xml:space="preserve">MigrationTarget</w:t>
      </w:r>
      <w:r>
        <w:t xml:space="preserve"> </w:t>
      </w:r>
      <w:r>
        <w:t xml:space="preserve">is computed toward the program decision/the program decision destinations (API-driven provisioning via Graph, Managed Identity, or Service Principal) — the same workload-identity end state the SQL-connection track lands on.</w:t>
      </w:r>
    </w:p>
    <w:p>
      <w:pPr>
        <w:pStyle w:val="SourceCode"/>
      </w:pPr>
      <w:r>
        <w:rPr>
          <w:rStyle w:val="CommentTok"/>
        </w:rPr>
        <w:t xml:space="preserve"># Read-only LDAP-bind inventory — heuristics + DC event logs over 30 days</w:t>
      </w:r>
      <w:r>
        <w:br/>
      </w:r>
      <w:r>
        <w:rPr>
          <w:rStyle w:val="OperatorTok"/>
        </w:rPr>
        <w:t xml:space="preserve">./</w:t>
      </w:r>
      <w:r>
        <w:rPr>
          <w:rStyle w:val="NormalTok"/>
        </w:rPr>
        <w:t xml:space="preserve">Spec3-D1</w:t>
      </w:r>
      <w:r>
        <w:rPr>
          <w:rStyle w:val="OperatorTok"/>
        </w:rPr>
        <w:t xml:space="preserve">.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Get-LDAPBindAccountInventory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IncludeDCLogs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EventLogHours </w:t>
      </w:r>
      <w:r>
        <w:rPr>
          <w:rStyle w:val="DecValTok"/>
        </w:rPr>
        <w:t xml:space="preserve">720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OutputPath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</w:t>
      </w:r>
      <w:r>
        <w:br/>
      </w:r>
      <w:r>
        <w:rPr>
          <w:rStyle w:val="CommentTok"/>
        </w:rPr>
        <w:t xml:space="preserve"># Enriched with the service-account scan</w:t>
      </w:r>
      <w:r>
        <w:br/>
      </w:r>
      <w:r>
        <w:rPr>
          <w:rStyle w:val="OperatorTok"/>
        </w:rPr>
        <w:t xml:space="preserve">./</w:t>
      </w:r>
      <w:r>
        <w:rPr>
          <w:rStyle w:val="NormalTok"/>
        </w:rPr>
        <w:t xml:space="preserve">Spec3-D1</w:t>
      </w:r>
      <w:r>
        <w:rPr>
          <w:rStyle w:val="OperatorTok"/>
        </w:rPr>
        <w:t xml:space="preserve">.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Get-LDAPBindAccountInventory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D1InputFile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D1</w:t>
      </w:r>
      <w:r>
        <w:rPr>
          <w:rStyle w:val="OperatorTok"/>
        </w:rPr>
        <w:t xml:space="preserve">.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*.</w:t>
      </w:r>
      <w:r>
        <w:rPr>
          <w:rStyle w:val="FunctionTok"/>
        </w:rPr>
        <w:t xml:space="preserve">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OutputPath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</w:t>
      </w:r>
    </w:p>
    <w:bookmarkEnd w:id="18"/>
    <w:bookmarkStart w:id="19" w:name="what-d1.9-does-and-does-not-give-you"/>
    <w:p>
      <w:pPr>
        <w:pStyle w:val="Heading3"/>
      </w:pPr>
      <w:r>
        <w:t xml:space="preserve">What D1.9 does and does not give you</w:t>
      </w:r>
    </w:p>
    <w:p>
      <w:pPr>
        <w:pStyle w:val="FirstParagraph"/>
      </w:pPr>
      <w:r>
        <w:t xml:space="preserve">D1.9 inventories the</w:t>
      </w:r>
      <w:r>
        <w:t xml:space="preserve"> </w:t>
      </w:r>
      <w:r>
        <w:rPr>
          <w:b/>
          <w:bCs/>
        </w:rPr>
        <w:t xml:space="preserve">LDAP-bind accounts</w:t>
      </w:r>
      <w:r>
        <w:t xml:space="preserve"> </w:t>
      </w:r>
      <w:r>
        <w:t xml:space="preserve">and their risk and Graph-migration target.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record which SQL Server instance/database each application connects to, nor does it assign an the program decision class — those require correlation with the Book 03</w:t>
      </w:r>
      <w:r>
        <w:t xml:space="preserve"> </w:t>
      </w:r>
      <w:r>
        <w:rPr>
          <w:rStyle w:val="VerbatimChar"/>
        </w:rPr>
        <w:t xml:space="preserve">Spec3-D1.8</w:t>
      </w:r>
      <w:r>
        <w:t xml:space="preserve"> </w:t>
      </w:r>
      <w:r>
        <w:t xml:space="preserve">instance audit and with per-application modernization signals (SAML metadata URLs, OIDC discovery endpoints, vendor docs).</w:t>
      </w:r>
    </w:p>
    <w:p>
      <w:pPr>
        <w:pStyle w:val="BodyText"/>
      </w:pPr>
      <w:r>
        <w:rPr>
          <w:rStyle w:val="VerbatimChar"/>
          <w:b/>
          <w:bCs/>
        </w:rPr>
        <w:t xml:space="preserve">New-FMPAppConnectionPlan</w:t>
      </w:r>
      <w:r>
        <w:t xml:space="preserve"> </w:t>
      </w:r>
      <w:r>
        <w:t xml:space="preserve">(</w:t>
      </w:r>
      <w:r>
        <w:rPr>
          <w:rStyle w:val="VerbatimChar"/>
        </w:rPr>
        <w:t xml:space="preserve">tools/powershell/FMPSqlServerMigration/</w:t>
      </w:r>
      <w:r>
        <w:t xml:space="preserve">) is the correlation-and-classification pass. It joins the D1.9 bind-account inventory to the Book 03</w:t>
      </w:r>
      <w:r>
        <w:t xml:space="preserve"> </w:t>
      </w:r>
      <w:r>
        <w:rPr>
          <w:rStyle w:val="VerbatimChar"/>
        </w:rPr>
        <w:t xml:space="preserve">Spec3-D1.8</w:t>
      </w:r>
      <w:r>
        <w:t xml:space="preserve"> </w:t>
      </w:r>
      <w:r>
        <w:t xml:space="preserve">instance audit (matching each bind account to the SQL login it maps to, so the plan names the exact</w:t>
      </w:r>
      <w:r>
        <w:t xml:space="preserve"> </w:t>
      </w:r>
      <w:r>
        <w:rPr>
          <w:rStyle w:val="VerbatimChar"/>
        </w:rPr>
        <w:t xml:space="preserve">correlated_sql_instances</w:t>
      </w:r>
      <w:r>
        <w:t xml:space="preserve">), assigns each application an the program decision class — preferring the cleanest end-state, OIDC &gt; SAML &gt; App Proxy &gt; Domain Services — from a supplied</w:t>
      </w:r>
      <w:r>
        <w:t xml:space="preserve"> </w:t>
      </w:r>
      <w:r>
        <w:rPr>
          <w:rStyle w:val="VerbatimChar"/>
        </w:rPr>
        <w:t xml:space="preserve">-CapabilityMap</w:t>
      </w:r>
      <w:r>
        <w:t xml:space="preserve"> </w:t>
      </w:r>
      <w:r>
        <w:t xml:space="preserve">of observable signals (oidc / saml / reverse_proxy / vendor_locked), falling back to the D1.9</w:t>
      </w:r>
      <w:r>
        <w:t xml:space="preserve"> </w:t>
      </w:r>
      <w:r>
        <w:rPr>
          <w:rStyle w:val="VerbatimChar"/>
        </w:rPr>
        <w:t xml:space="preserve">MigrationTarget</w:t>
      </w:r>
      <w:r>
        <w:t xml:space="preserve">, and for any app correlated to a SQL login emits the connection-string transformation that removes the stored credential. Apps with no capability signal and no</w:t>
      </w:r>
      <w:r>
        <w:t xml:space="preserve"> </w:t>
      </w:r>
      <w:r>
        <w:rPr>
          <w:rStyle w:val="VerbatimChar"/>
        </w:rPr>
        <w:t xml:space="preserve">MigrationTarget</w:t>
      </w:r>
      <w:r>
        <w:t xml:space="preserve"> </w:t>
      </w:r>
      <w:r>
        <w:t xml:space="preserve">land in</w:t>
      </w:r>
      <w:r>
        <w:t xml:space="preserve"> </w:t>
      </w:r>
      <w:r>
        <w:rPr>
          <w:rStyle w:val="VerbatimChar"/>
        </w:rPr>
        <w:t xml:space="preserve">review</w:t>
      </w:r>
      <w:r>
        <w:t xml:space="preserve"> </w:t>
      </w:r>
      <w:r>
        <w:t xml:space="preserve">rather than being mis-classified.</w:t>
      </w:r>
    </w:p>
    <w:p>
      <w:pPr>
        <w:pStyle w:val="SourceCode"/>
      </w:pPr>
      <w:r>
        <w:rPr>
          <w:rStyle w:val="FunctionTok"/>
        </w:rPr>
        <w:t xml:space="preserve">Import-Module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./</w:t>
      </w:r>
      <w:r>
        <w:rPr>
          <w:rStyle w:val="NormalTok"/>
        </w:rPr>
        <w:t xml:space="preserve">tools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powershell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FMPSqlServerMigration</w:t>
      </w:r>
      <w:r>
        <w:br/>
      </w:r>
      <w:r>
        <w:rPr>
          <w:rStyle w:val="NormalTok"/>
        </w:rPr>
        <w:t xml:space="preserve">New-FMPAppConnectionPlan `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LdapBindInventoryPath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LDAPBindAccountInventory</w:t>
      </w:r>
      <w:r>
        <w:rPr>
          <w:rStyle w:val="OperatorTok"/>
        </w:rPr>
        <w:t xml:space="preserve">*.</w:t>
      </w:r>
      <w:r>
        <w:rPr>
          <w:rStyle w:val="FunctionTok"/>
        </w:rPr>
        <w:t xml:space="preserve">json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AuthAuditPath        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\output\sqlserver-auth-audit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json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CapabilityMap        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\config\app-capabilities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json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OutputPath           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\output\app-connection-plan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json</w:t>
      </w:r>
    </w:p>
    <w:p>
      <w:pPr>
        <w:pStyle w:val="FirstParagraph"/>
      </w:pPr>
      <w:r>
        <w:t xml:space="preserve">It is</w:t>
      </w:r>
      <w:r>
        <w:t xml:space="preserve"> </w:t>
      </w:r>
      <w:r>
        <w:rPr>
          <w:b/>
          <w:bCs/>
        </w:rPr>
        <w:t xml:space="preserve">read-only derivation</w:t>
      </w:r>
      <w:r>
        <w:t xml:space="preserve"> </w:t>
      </w:r>
      <w:r>
        <w:t xml:space="preserve">— every record is</w:t>
      </w:r>
      <w:r>
        <w:t xml:space="preserve"> </w:t>
      </w:r>
      <w:r>
        <w:rPr>
          <w:rStyle w:val="VerbatimChar"/>
        </w:rPr>
        <w:t xml:space="preserve">mutating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requires_review</w:t>
      </w:r>
      <w:r>
        <w:t xml:space="preserve">, and the function changes nothing; the connection-string change itself (Phase 2) stays the gated, in-config step below.</w:t>
      </w:r>
    </w:p>
    <w:bookmarkEnd w:id="19"/>
    <w:bookmarkEnd w:id="20"/>
    <w:bookmarkStart w:id="21" w:name="X2e45eabd25b86d2aee7174cc149855f9bd3283d"/>
    <w:p>
      <w:pPr>
        <w:pStyle w:val="Heading2"/>
      </w:pPr>
      <w:r>
        <w:t xml:space="preserve">The the program decision four-class triage</w:t>
      </w:r>
    </w:p>
    <w:p>
      <w:pPr>
        <w:pStyle w:val="FirstParagraph"/>
      </w:pPr>
      <w:r>
        <w:t xml:space="preserve">Each SQL-consuming application is classified into one of four classes, in strict preference order, and each class carries the same SQL-connection track (the user-auth track differs):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Class</w:t>
            </w:r>
          </w:p>
        </w:tc>
        <w:tc>
          <w:tcPr/>
          <w:p>
            <w:pPr>
              <w:pStyle w:val="Compact"/>
            </w:pPr>
            <w:r>
              <w:t xml:space="preserve">User-auth track</w:t>
            </w:r>
          </w:p>
        </w:tc>
        <w:tc>
          <w:tcPr/>
          <w:p>
            <w:pPr>
              <w:pStyle w:val="Compact"/>
            </w:pPr>
            <w:r>
              <w:t xml:space="preserve">SQL-connection track</w:t>
            </w:r>
          </w:p>
        </w:tc>
        <w:tc>
          <w:tcPr/>
          <w:p>
            <w:pPr>
              <w:pStyle w:val="Compac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Class 3 — OIDC</w:t>
            </w:r>
            <w:r>
              <w:t xml:space="preserve"> </w:t>
            </w:r>
            <w:r>
              <w:t xml:space="preserve">(preferred)</w:t>
            </w:r>
          </w:p>
        </w:tc>
        <w:tc>
          <w:tcPr/>
          <w:p>
            <w:pPr>
              <w:pStyle w:val="Compact"/>
            </w:pPr>
            <w:r>
              <w:t xml:space="preserve">Entra as OIDC IdP; full LDAP elimination</w:t>
            </w:r>
          </w:p>
        </w:tc>
        <w:tc>
          <w:tcPr/>
          <w:p>
            <w:pPr>
              <w:pStyle w:val="Compact"/>
            </w:pPr>
            <w:r>
              <w:t xml:space="preserve">Managed Identity / service principal</w:t>
            </w:r>
          </w:p>
        </w:tc>
        <w:tc>
          <w:tcPr/>
          <w:p>
            <w:pPr>
              <w:pStyle w:val="Compact"/>
            </w:pPr>
            <w:r>
              <w:t xml:space="preserve">target architecture — no AD, no LDAP, no stored secret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Class 2 — SAML</w:t>
            </w:r>
          </w:p>
        </w:tc>
        <w:tc>
          <w:tcPr/>
          <w:p>
            <w:pPr>
              <w:pStyle w:val="Compact"/>
            </w:pPr>
            <w:r>
              <w:t xml:space="preserve">Entra as SAML IdP (the program decision)</w:t>
            </w:r>
          </w:p>
        </w:tc>
        <w:tc>
          <w:tcPr/>
          <w:p>
            <w:pPr>
              <w:pStyle w:val="Compact"/>
            </w:pPr>
            <w:r>
              <w:t xml:space="preserve">Managed Identity / service principal</w:t>
            </w:r>
          </w:p>
        </w:tc>
        <w:tc>
          <w:tcPr/>
          <w:p>
            <w:pPr>
              <w:pStyle w:val="Compact"/>
            </w:pPr>
            <w:r>
              <w:t xml:space="preserve">eliminates LDAP, ranks below OIDC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Class 1 — App Proxy</w:t>
            </w:r>
          </w:p>
        </w:tc>
        <w:tc>
          <w:tcPr/>
          <w:p>
            <w:pPr>
              <w:pStyle w:val="Compact"/>
            </w:pPr>
            <w:r>
              <w:t xml:space="preserve">Entra Application Proxy fronts the app (no code change)</w:t>
            </w:r>
          </w:p>
        </w:tc>
        <w:tc>
          <w:tcPr/>
          <w:p>
            <w:pPr>
              <w:pStyle w:val="Compact"/>
            </w:pPr>
            <w:r>
              <w:t xml:space="preserve">Managed Identity / service principal</w:t>
            </w:r>
          </w:p>
        </w:tc>
        <w:tc>
          <w:tcPr/>
          <w:p>
            <w:pPr>
              <w:pStyle w:val="Compact"/>
            </w:pPr>
            <w:r>
              <w:t xml:space="preserve">cannot modernize auth directly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Class 4 — Entra Domain Services</w:t>
            </w:r>
            <w:r>
              <w:t xml:space="preserve"> </w:t>
            </w:r>
            <w:r>
              <w:t xml:space="preserve">(last resort)</w:t>
            </w:r>
          </w:p>
        </w:tc>
        <w:tc>
          <w:tcPr/>
          <w:p>
            <w:pPr>
              <w:pStyle w:val="Compact"/>
            </w:pPr>
            <w:r>
              <w:t xml:space="preserve">managed AD-compatible domain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blocked</w:t>
            </w:r>
            <w:r>
              <w:t xml:space="preserve"> </w:t>
            </w:r>
            <w:r>
              <w:t xml:space="preserve">— preserves AD dependency</w:t>
            </w:r>
          </w:p>
        </w:tc>
        <w:tc>
          <w:tcPr/>
          <w:p>
            <w:pPr>
              <w:pStyle w:val="Compact"/>
            </w:pPr>
            <w:r>
              <w:t xml:space="preserve">host instance carries a documented exception with a sunset date</w:t>
            </w:r>
          </w:p>
        </w:tc>
      </w:tr>
    </w:tbl>
    <w:p>
      <w:pPr>
        <w:pStyle w:val="BodyText"/>
      </w:pPr>
      <w:r>
        <w:t xml:space="preserve">The two tracks are independent and can sequence separately — but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must complete before the application’s contribution to the transformation is fulfilled. A Class 4 application on an instance forces that instance to keep accepting Windows Authentication, which blocks the Entra-only posture the directory modernization program Transformation #7 requires; each such instance needs an exception with a sunset date reconciled against the 2027-04-01 block (Book 09).</w:t>
      </w:r>
    </w:p>
    <w:bookmarkEnd w:id="21"/>
    <w:bookmarkStart w:id="28" w:name="X46585bda0bbc0915635d047299ef4ad85a15219"/>
    <w:p>
      <w:pPr>
        <w:pStyle w:val="Heading2"/>
      </w:pPr>
      <w:r>
        <w:t xml:space="preserve">Phase 2 — Connection-string migration (review-required, the last mile)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simplest change, the most gated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Technically the connection-string change is one keyword; operationally it is the most gate-controlled step in the program.</w:t>
            </w:r>
            <w:r>
              <w:t xml:space="preserve"> </w:t>
            </w:r>
            <w:r>
              <w:rPr>
                <w:rStyle w:val="VerbatimChar"/>
              </w:rPr>
              <w:t xml:space="preserve">New-FMPAppConnectionPlan</w:t>
            </w:r>
            <w:r>
              <w:t xml:space="preserve"> </w:t>
            </w:r>
            <w:r>
              <w:t xml:space="preserve">emits the per-application</w:t>
            </w:r>
            <w:r>
              <w:t xml:space="preserve"> </w:t>
            </w:r>
            <w:r>
              <w:rPr>
                <w:i/>
                <w:iCs/>
              </w:rPr>
              <w:t xml:space="preserve">plan</w:t>
            </w:r>
            <w:r>
              <w:t xml:space="preserve"> </w:t>
            </w:r>
            <w:r>
              <w:t xml:space="preserve">(which app, which instances, which target keyword), but the change itself is made in</w:t>
            </w:r>
            <w:r>
              <w:t xml:space="preserve"> </w:t>
            </w:r>
            <w:r>
              <w:rPr>
                <w:b/>
                <w:bCs/>
              </w:rPr>
              <w:t xml:space="preserve">application configuration</w:t>
            </w:r>
            <w:r>
              <w:t xml:space="preserve"> </w:t>
            </w:r>
            <w:r>
              <w:t xml:space="preserve">by deliberate choice — there is no script that rewrites a production connection string. Three gate conditions must hold first, and the cutover runs in a change window.</w:t>
            </w:r>
          </w:p>
          <w:p/>
        </w:tc>
      </w:tr>
    </w:tbl>
    <w:bookmarkStart w:id="25" w:name="the-change"/>
    <w:p>
      <w:pPr>
        <w:pStyle w:val="Heading3"/>
      </w:pPr>
      <w:r>
        <w:t xml:space="preserve">The change</w:t>
      </w:r>
    </w:p>
    <w:p>
      <w:pPr>
        <w:pStyle w:val="FirstParagraph"/>
      </w:pPr>
      <w:r>
        <w:t xml:space="preserve">The stored credential disappears. Windows Integrated Security or SQL Authentication becomes an Entra ID authentication keyword:</w:t>
      </w:r>
    </w:p>
    <w:p>
      <w:pPr>
        <w:pStyle w:val="SourceCode"/>
      </w:pPr>
      <w:r>
        <w:rPr>
          <w:rStyle w:val="VerbatimChar"/>
        </w:rPr>
        <w:t xml:space="preserve"># Before — credential invisible to the identity plane</w:t>
      </w:r>
      <w:r>
        <w:br/>
      </w:r>
      <w:r>
        <w:rPr>
          <w:rStyle w:val="VerbatimChar"/>
        </w:rPr>
        <w:t xml:space="preserve">Data Source=sqlhost;Initial Catalog=AppDb;Integrated Security=True</w:t>
      </w:r>
      <w:r>
        <w:br/>
      </w:r>
      <w:r>
        <w:rPr>
          <w:rStyle w:val="VerbatimChar"/>
        </w:rPr>
        <w:t xml:space="preserve">Data Source=sqlhost;Initial Catalog=AppDb;User ID=svc-app;Password=&lt;stored&gt;</w:t>
      </w:r>
      <w:r>
        <w:br/>
      </w:r>
      <w:r>
        <w:br/>
      </w:r>
      <w:r>
        <w:rPr>
          <w:rStyle w:val="VerbatimChar"/>
        </w:rPr>
        <w:t xml:space="preserve"># After — no stored secret</w:t>
      </w:r>
      <w:r>
        <w:br/>
      </w:r>
      <w:r>
        <w:rPr>
          <w:rStyle w:val="VerbatimChar"/>
        </w:rPr>
        <w:t xml:space="preserve">Data Source=sqlhost;Initial Catalog=AppDb;Authentication=Active Directory Managed Identity</w:t>
      </w:r>
      <w:r>
        <w:br/>
      </w:r>
      <w:r>
        <w:rPr>
          <w:rStyle w:val="VerbatimChar"/>
        </w:rPr>
        <w:t xml:space="preserve">Data Source=sqlhost;Initial Catalog=AppDb;Authentication=Active Directory Service Principal   # client id + Key Vault ref</w:t>
      </w:r>
      <w:r>
        <w:br/>
      </w:r>
      <w:r>
        <w:rPr>
          <w:rStyle w:val="VerbatimChar"/>
        </w:rPr>
        <w:t xml:space="preserve">Data Source=sqlhost;Initial Catalog=AppDb;Authentication=Active Directory Default             # preferred for new config</w:t>
      </w:r>
    </w:p>
    <w:p>
      <w:pPr>
        <w:pStyle w:val="FirstParagraph"/>
      </w:pPr>
      <w:r>
        <w:t xml:space="preserve">For an application on an Arc-enabled host with a system-assigned Managed Identity (Book 04),</w:t>
      </w:r>
      <w:r>
        <w:t xml:space="preserve"> </w:t>
      </w:r>
      <w:r>
        <w:rPr>
          <w:rStyle w:val="VerbatimChar"/>
        </w:rPr>
        <w:t xml:space="preserve">Authentication=Active Directory Managed Identity</w:t>
      </w:r>
      <w:r>
        <w:t xml:space="preserve"> </w:t>
      </w:r>
      <w:r>
        <w:t xml:space="preserve">tells the driver to mint a token from the local IMDS endpoint rather than negotiate a Windows credential. For a service principal, supply the client ID and a credential</w:t>
      </w:r>
      <w:r>
        <w:t xml:space="preserve"> </w:t>
      </w:r>
      <w:r>
        <w:rPr>
          <w:b/>
          <w:bCs/>
        </w:rPr>
        <w:t xml:space="preserve">through an Azure Key Vault reference, not inline</w:t>
      </w:r>
      <w:r>
        <w:t xml:space="preserve">.</w:t>
      </w:r>
    </w:p>
    <w:bookmarkEnd w:id="25"/>
    <w:bookmarkStart w:id="26" w:name="the-three-gate-conditions"/>
    <w:p>
      <w:pPr>
        <w:pStyle w:val="Heading3"/>
      </w:pPr>
      <w:r>
        <w:t xml:space="preserve">The three gate conditions</w:t>
      </w:r>
    </w:p>
    <w:p>
      <w:pPr>
        <w:pStyle w:val="FirstParagraph"/>
      </w:pPr>
      <w:r>
        <w:t xml:space="preserve">All three must hold before cutover:</w:t>
      </w:r>
    </w:p>
    <w:p>
      <w:pPr>
        <w:pStyle w:val="Compact"/>
        <w:numPr>
          <w:ilvl w:val="0"/>
          <w:numId w:val="1001"/>
        </w:numPr>
      </w:pPr>
      <w:r>
        <w:t xml:space="preserve">The Entra ID</w:t>
      </w:r>
      <w:r>
        <w:t xml:space="preserve"> </w:t>
      </w:r>
      <w:r>
        <w:rPr>
          <w:b/>
          <w:bCs/>
        </w:rPr>
        <w:t xml:space="preserve">login already exists</w:t>
      </w:r>
      <w:r>
        <w:t xml:space="preserve"> </w:t>
      </w:r>
      <w:r>
        <w:t xml:space="preserve">on the target instance — the</w:t>
      </w:r>
      <w:r>
        <w:t xml:space="preserve"> </w:t>
      </w:r>
      <w:r>
        <w:rPr>
          <w:rStyle w:val="VerbatimChar"/>
        </w:rPr>
        <w:t xml:space="preserve">FROM EXTERNAL PROVIDER</w:t>
      </w:r>
      <w:r>
        <w:t xml:space="preserve"> </w:t>
      </w:r>
      <w:r>
        <w:t xml:space="preserve">login from Book 05 (or the group-login from Book 07). A connection string naming an Entra identity with no corresponding login fails at connection time.</w:t>
      </w:r>
    </w:p>
    <w:p>
      <w:pPr>
        <w:pStyle w:val="Compact"/>
        <w:numPr>
          <w:ilvl w:val="0"/>
          <w:numId w:val="1001"/>
        </w:numPr>
      </w:pPr>
      <w:r>
        <w:t xml:space="preserve">The application’s Managed Identity / service principal</w:t>
      </w:r>
      <w:r>
        <w:t xml:space="preserve"> </w:t>
      </w:r>
      <w:r>
        <w:rPr>
          <w:b/>
          <w:bCs/>
        </w:rPr>
        <w:t xml:space="preserve">holds the appropriate database role</w:t>
      </w:r>
      <w:r>
        <w:t xml:space="preserve">, so authentication succeeds and authorization follows.</w:t>
      </w:r>
    </w:p>
    <w:p>
      <w:pPr>
        <w:pStyle w:val="Compact"/>
        <w:numPr>
          <w:ilvl w:val="0"/>
          <w:numId w:val="1001"/>
        </w:numPr>
      </w:pPr>
      <w:r>
        <w:t xml:space="preserve">The change has been</w:t>
      </w:r>
      <w:r>
        <w:t xml:space="preserve"> </w:t>
      </w:r>
      <w:r>
        <w:rPr>
          <w:b/>
          <w:bCs/>
        </w:rPr>
        <w:t xml:space="preserve">tested in a non-production environment whose Arc + SQL extension configuration matches production</w:t>
      </w:r>
      <w:r>
        <w:t xml:space="preserve"> </w:t>
      </w:r>
      <w:r>
        <w:t xml:space="preserve">— token acquisition and validation depend on that infrastructure. A change that works against a laptop but was never exercised against a production-equivalent Arc/extension stack is not a tested change.</w:t>
      </w:r>
    </w:p>
    <w:bookmarkEnd w:id="26"/>
    <w:bookmarkStart w:id="27" w:name="defaultazurecredential-for-.net"/>
    <w:p>
      <w:pPr>
        <w:pStyle w:val="Heading3"/>
      </w:pPr>
      <w:r>
        <w:t xml:space="preserve">DefaultAzureCredential for .NET</w:t>
      </w:r>
    </w:p>
    <w:p>
      <w:pPr>
        <w:pStyle w:val="FirstParagraph"/>
      </w:pPr>
      <w:r>
        <w:t xml:space="preserve">For .NET applications, the</w:t>
      </w:r>
      <w:r>
        <w:t xml:space="preserve"> </w:t>
      </w:r>
      <w:r>
        <w:rPr>
          <w:rStyle w:val="VerbatimChar"/>
        </w:rPr>
        <w:t xml:space="preserve">Azure.Identity</w:t>
      </w:r>
      <w:r>
        <w:t xml:space="preserve"> </w:t>
      </w:r>
      <w:r>
        <w:t xml:space="preserve">SDK’s</w:t>
      </w:r>
      <w:r>
        <w:t xml:space="preserve"> </w:t>
      </w:r>
      <w:r>
        <w:rPr>
          <w:rStyle w:val="VerbatimChar"/>
        </w:rPr>
        <w:t xml:space="preserve">DefaultAzureCredential</w:t>
      </w:r>
      <w:r>
        <w:t xml:space="preserve"> </w:t>
      </w:r>
      <w:r>
        <w:t xml:space="preserve">implements an ordered credential chain — Managed Identity via IMDS first (on the Arc-enabled host), then Azure CLI, Visual Studio, and environment-variable service-principal credentials. One credential code path then works unchanged across production (Managed Identity) and a developer’s machine (Azure CLI).</w:t>
      </w:r>
      <w:r>
        <w:t xml:space="preserve"> </w:t>
      </w:r>
      <w:r>
        <w:rPr>
          <w:rStyle w:val="VerbatimChar"/>
        </w:rPr>
        <w:t xml:space="preserve">Authentication=Active Directory Default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Microsoft.Data.SqlClient</w:t>
      </w:r>
      <w:r>
        <w:t xml:space="preserve"> </w:t>
      </w:r>
      <w:r>
        <w:t xml:space="preserve">2.0+ delegates to this chain automatically and is the preferred form for new configurations — one keyword replaces an entire credential-management system, realizing the the program decision workload-identity model.</w:t>
      </w:r>
    </w:p>
    <w:p>
      <w:pPr>
        <w:pStyle w:val="SourceCode"/>
      </w:pPr>
      <w:r>
        <w:rPr>
          <w:rStyle w:val="CommentTok"/>
        </w:rPr>
        <w:t xml:space="preserve">// Equivalent explicit form when the keyword cannot be used</w:t>
      </w:r>
      <w:r>
        <w:br/>
      </w:r>
      <w:r>
        <w:rPr>
          <w:rStyle w:val="DataTypeTok"/>
        </w:rPr>
        <w:t xml:space="preserve">var</w:t>
      </w:r>
      <w:r>
        <w:rPr>
          <w:rStyle w:val="NormalTok"/>
        </w:rPr>
        <w:t xml:space="preserve"> cred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DefaultAzureCredential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var</w:t>
      </w:r>
      <w:r>
        <w:rPr>
          <w:rStyle w:val="NormalTok"/>
        </w:rPr>
        <w:t xml:space="preserve"> token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GetToken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TokenRequestContext</w:t>
      </w:r>
      <w:r>
        <w:rPr>
          <w:rStyle w:val="Operator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new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"https://database.usgovcloudapi.net/.default"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}));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GCC data-plane audience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var</w:t>
      </w:r>
      <w:r>
        <w:rPr>
          <w:rStyle w:val="NormalTok"/>
        </w:rPr>
        <w:t xml:space="preserve"> conn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SqlConnection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"Data Source=sqlhost;Initial Catalog=AppDb"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conn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AccessToken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token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Token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Note the</w:t>
      </w:r>
      <w:r>
        <w:t xml:space="preserve"> </w:t>
      </w:r>
      <w:r>
        <w:rPr>
          <w:b/>
          <w:bCs/>
        </w:rPr>
        <w:t xml:space="preserve">data-plane audience</w:t>
      </w:r>
      <w:r>
        <w:t xml:space="preserve"> </w:t>
      </w:r>
      <w:r>
        <w:t xml:space="preserve">(</w:t>
      </w:r>
      <w:r>
        <w:rPr>
          <w:rStyle w:val="VerbatimChar"/>
        </w:rPr>
        <w:t xml:space="preserve">https://database.usgovcloudapi.net/</w:t>
      </w:r>
      <w:r>
        <w:t xml:space="preserve"> </w:t>
      </w:r>
      <w:r>
        <w:t xml:space="preserve">in Azure Government) — the same audience-correctness point Book 04 makes about IMDS tokens; a management-plane token is refused by the SQL data plane.</w:t>
      </w:r>
    </w:p>
    <w:bookmarkEnd w:id="27"/>
    <w:bookmarkEnd w:id="28"/>
    <w:bookmarkStart w:id="29" w:name="verification-rollback"/>
    <w:p>
      <w:pPr>
        <w:pStyle w:val="Heading2"/>
      </w:pPr>
      <w:r>
        <w:t xml:space="preserve">Verification &amp; rollback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Verify</w:t>
      </w:r>
      <w:r>
        <w:t xml:space="preserve"> </w:t>
      </w:r>
      <w:r>
        <w:t xml:space="preserve">the application connects with</w:t>
      </w:r>
      <w:r>
        <w:t xml:space="preserve"> </w:t>
      </w:r>
      <w:r>
        <w:rPr>
          <w:rStyle w:val="VerbatimChar"/>
        </w:rPr>
        <w:t xml:space="preserve">auth_scheme = AAD</w:t>
      </w:r>
      <w:r>
        <w:t xml:space="preserve"> </w:t>
      </w:r>
      <w:r>
        <w:t xml:space="preserve">(the same</w:t>
      </w:r>
      <w:r>
        <w:t xml:space="preserve"> </w:t>
      </w:r>
      <w:r>
        <w:rPr>
          <w:rStyle w:val="VerbatimChar"/>
        </w:rPr>
        <w:t xml:space="preserve">sys.dm_exec_connections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sys.dm_exec_sessions</w:t>
      </w:r>
      <w:r>
        <w:t xml:space="preserve"> </w:t>
      </w:r>
      <w:r>
        <w:t xml:space="preserve">query Book 05 uses for the parallel-run window) and that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NTLM rows remain for it.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Rollback</w:t>
      </w:r>
      <w:r>
        <w:t xml:space="preserve"> </w:t>
      </w:r>
      <w:r>
        <w:t xml:space="preserve">is the prior connection string — keep the previous configuration and (per Book 05) the legacy login</w:t>
      </w:r>
      <w:r>
        <w:t xml:space="preserve"> </w:t>
      </w:r>
      <w:r>
        <w:rPr>
          <w:i/>
          <w:iCs/>
        </w:rPr>
        <w:t xml:space="preserve">disabled, not dropped</w:t>
      </w:r>
      <w:r>
        <w:t xml:space="preserve">, so reverting is immediate. Cut over only after the gate conditions are met and the parallel observation is clean.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Companion to narrative Book 08. Inventory script-backed: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tools/discovery/Spec3-D1.9</w:t>
      </w:r>
      <w:r>
        <w:rPr>
          <w:i/>
          <w:iCs/>
        </w:rPr>
        <w:t xml:space="preserve">. Correlation + the program decision classification + connection-string plan: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tools/powershell/FMPSqlServerMigration</w:t>
      </w:r>
      <w:r>
        <w:rPr>
          <w:i/>
          <w:iCs/>
        </w:rPr>
        <w:t xml:space="preserve"> </w:t>
      </w:r>
      <w:r>
        <w:rPr>
          <w:i/>
          <w:iCs/>
        </w:rPr>
        <w:t xml:space="preserve">(</w:t>
      </w:r>
      <w:r>
        <w:rPr>
          <w:rStyle w:val="VerbatimChar"/>
          <w:i/>
          <w:iCs/>
        </w:rPr>
        <w:t xml:space="preserve">New-FMPAppConnectionPlan</w:t>
      </w:r>
      <w:r>
        <w:rPr>
          <w:i/>
          <w:iCs/>
        </w:rPr>
        <w:t xml:space="preserve">). The connection-string change itself is a review-required, in-config step. Canon: the program decision, the program decision, the program decision, the directory modernization program §3.2.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hyperlink" Id="rId12" Target="Book_08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Book_08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Implementation Book 08 — The Application Chain &amp; Connection-String Migration</dc:title>
  <dc:creator/>
  <dc:description>How to complete the authentication chain upstream of SQL Server. Documents the shipped Spec3-D1.9 Get-LDAPBindAccountInventory audit with its real parameters, discovery methods, output fields, and risk/migration-target columns, then New-FMPAppConnectionPlan — which correlates D1.9 to the Book 03 D1.8 audit, classifies each app by the the program decision four-class taxonomy (OIDC / SAML / App Proxy / Entra Domain Services), and emits the connection-string migration plan — followed by the review-required connection-string patterns (Active Directory Managed Identity / Service Principal / Default, the DefaultAzureCredential chain, and the three gate conditions) that remove the stored credential.</dc:description>
  <cp:keywords/>
  <dcterms:created xsi:type="dcterms:W3CDTF">2026-10-19T10:11:37Z</dcterms:created>
  <dcterms:modified xsi:type="dcterms:W3CDTF">2026-10-19T10:11:37Z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source">
    <vt:lpwstr>src/fmp/canon/the directory modernization program</vt:lpwstr>
  </property>
  <property fmtid="{D5CDD505-2E9C-101B-9397-08002B2CF9AE}" pid="5" name="doc-type">
    <vt:lpwstr>sql-server-implementation-book</vt:lpwstr>
  </property>
  <property fmtid="{D5CDD505-2E9C-101B-9397-08002B2CF9AE}" pid="6" name="family">
    <vt:lpwstr>sql-server-implementation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active</vt:lpwstr>
  </property>
  <property fmtid="{D5CDD505-2E9C-101B-9397-08002B2CF9AE}" pid="12" name="lifecycle_review">
    <vt:lpwstr>2027-01-01</vt:lpwstr>
  </property>
  <property fmtid="{D5CDD505-2E9C-101B-9397-08002B2CF9AE}" pid="13" name="series-order">
    <vt:lpwstr>8</vt:lpwstr>
  </property>
  <property fmtid="{D5CDD505-2E9C-101B-9397-08002B2CF9AE}" pid="14" name="status">
    <vt:lpwstr>active</vt:lpwstr>
  </property>
  <property fmtid="{D5CDD505-2E9C-101B-9397-08002B2CF9AE}" pid="15" name="subtitle">
    <vt:lpwstr>Inventory the LDAP-bind dependency with the real Spec3-D1.9 audit, correlate and classify each SQL-consuming application by the the program decision four-class taxonomy with New-FMPAppConnectionPlan, then run the review-required connection-string change that removes the stored credential — the last mile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