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svg" ContentType="image/svg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Executive Summary — The Centralization Question</w:t>
      </w:r>
    </w:p>
    <w:p>
      <w:pPr>
        <w:pStyle w:val="Subtitle"/>
      </w:pPr>
      <w:r>
        <w:t xml:space="preserve">The pendulum, the three forces, and the wall that does not move</w:t>
      </w:r>
    </w:p>
    <w:p>
      <w:pPr>
        <w:pStyle w:val="Date"/>
      </w:pPr>
      <w:r>
        <w:t xml:space="preserve">2026-06-22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1" w:name="X7ad42e70d046a465c05fda574b2195dd98b5f91"/>
    <w:p>
      <w:pPr>
        <w:pStyle w:val="Heading1"/>
      </w:pPr>
      <w:r>
        <w:t xml:space="preserve">Executive Summary — The Centralization Question</w:t>
      </w:r>
    </w:p>
    <w:bookmarkStart w:id="9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For a decade the default answer to</w:t>
      </w:r>
      <w:r>
        <w:t xml:space="preserve"> </w:t>
      </w:r>
      <w:r>
        <w:t xml:space="preserve">“where should the data live?”</w:t>
      </w:r>
      <w:r>
        <w:t xml:space="preserve"> </w:t>
      </w:r>
      <w:r>
        <w:t xml:space="preserve">has been</w:t>
      </w:r>
      <w:r>
        <w:t xml:space="preserve"> </w:t>
      </w:r>
      <w:r>
        <w:rPr>
          <w:i/>
          <w:iCs/>
        </w:rPr>
        <w:t xml:space="preserve">spread it out</w:t>
      </w:r>
      <w:r>
        <w:t xml:space="preserve">: every microservice owns its own database, every region gets</w:t>
      </w:r>
      <w:r>
        <w:t xml:space="preserve"> </w:t>
      </w:r>
      <w:r>
        <w:t xml:space="preserve">its own store, and a single large SQL server is treated as a legacy</w:t>
      </w:r>
      <w:r>
        <w:t xml:space="preserve"> </w:t>
      </w:r>
      <w:r>
        <w:t xml:space="preserve">embarrassment. That instinct is now worth re-examining. With wide-area</w:t>
      </w:r>
      <w:r>
        <w:t xml:space="preserve"> </w:t>
      </w:r>
      <w:r>
        <w:t xml:space="preserve">networking that is both fast and application-aware, and with token-based</w:t>
      </w:r>
      <w:r>
        <w:t xml:space="preserve"> </w:t>
      </w:r>
      <w:r>
        <w:t xml:space="preserve">security that travels identity with every request,</w:t>
      </w:r>
      <w:r>
        <w:t xml:space="preserve"> </w:t>
      </w:r>
      <w:r>
        <w:rPr>
          <w:b/>
          <w:bCs/>
        </w:rPr>
        <w:t xml:space="preserve">is it more efficient to</w:t>
      </w:r>
      <w:r>
        <w:rPr>
          <w:b/>
          <w:bCs/>
        </w:rPr>
        <w:t xml:space="preserve"> </w:t>
      </w:r>
      <w:r>
        <w:rPr>
          <w:b/>
          <w:bCs/>
        </w:rPr>
        <w:t xml:space="preserve">consolidate onto large, centralized database servers — to fight data drift and</w:t>
      </w:r>
      <w:r>
        <w:rPr>
          <w:b/>
          <w:bCs/>
        </w:rPr>
        <w:t xml:space="preserve"> </w:t>
      </w:r>
      <w:r>
        <w:rPr>
          <w:b/>
          <w:bCs/>
        </w:rPr>
        <w:t xml:space="preserve">stay close to a single source of truth?</w:t>
      </w:r>
    </w:p>
    <w:p>
      <w:pPr>
        <w:pStyle w:val="BodyText"/>
      </w:pPr>
      <w:r>
        <w:t xml:space="preserve">This white paper’s answer is a qualified</w:t>
      </w:r>
      <w:r>
        <w:t xml:space="preserve"> </w:t>
      </w:r>
      <w:r>
        <w:rPr>
          <w:i/>
          <w:iCs/>
        </w:rPr>
        <w:t xml:space="preserve">yes</w:t>
      </w:r>
      <w:r>
        <w:t xml:space="preserve">, with one hard boundary set by</w:t>
      </w:r>
      <w:r>
        <w:t xml:space="preserve"> </w:t>
      </w:r>
      <w:r>
        <w:t xml:space="preserve">physics. The qualification matters as much as the answer.</w:t>
      </w:r>
    </w:p>
    <w:bookmarkEnd w:id="9"/>
    <w:bookmarkStart w:id="13" w:name="Xd070e5055b4e674176fbe4d0654f93b02701864"/>
    <w:p>
      <w:pPr>
        <w:pStyle w:val="Heading2"/>
      </w:pPr>
      <w:r>
        <w:t xml:space="preserve">The three forces pushing toward consolidation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Force</w:t>
            </w:r>
          </w:p>
        </w:tc>
        <w:tc>
          <w:tcPr/>
          <w:p>
            <w:pPr>
              <w:pStyle w:val="Compact"/>
            </w:pPr>
            <w:r>
              <w:t xml:space="preserve">What it removes</w:t>
            </w:r>
          </w:p>
        </w:tc>
        <w:tc>
          <w:tcPr/>
          <w:p>
            <w:pPr>
              <w:pStyle w:val="Compact"/>
            </w:pPr>
            <w:r>
              <w:t xml:space="preserve">Consequence for data topology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Fat, application-aware WAN</w:t>
            </w:r>
          </w:p>
        </w:tc>
        <w:tc>
          <w:tcPr/>
          <w:p>
            <w:pPr>
              <w:pStyle w:val="Compact"/>
            </w:pPr>
            <w:r>
              <w:t xml:space="preserve">The latency penalty that forced data to sit physically next to compute</w:t>
            </w:r>
          </w:p>
        </w:tc>
        <w:tc>
          <w:tcPr/>
          <w:p>
            <w:pPr>
              <w:pStyle w:val="Compact"/>
            </w:pPr>
            <w:r>
              <w:t xml:space="preserve">You can centralize the</w:t>
            </w:r>
            <w:r>
              <w:t xml:space="preserve"> </w:t>
            </w:r>
            <w:r>
              <w:rPr>
                <w:i/>
                <w:iCs/>
              </w:rPr>
              <w:t xml:space="preserve">system of record</w:t>
            </w:r>
            <w:r>
              <w:t xml:space="preserve"> </w:t>
            </w:r>
            <w:r>
              <w:t xml:space="preserve">without the old performance tax — at least within a region.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Token-based (zero-trust) security</w:t>
            </w:r>
          </w:p>
        </w:tc>
        <w:tc>
          <w:tcPr/>
          <w:p>
            <w:pPr>
              <w:pStyle w:val="Compact"/>
            </w:pPr>
            <w:r>
              <w:t xml:space="preserve">The need to fragment data behind network perimeters for isolation</w:t>
            </w:r>
          </w:p>
        </w:tc>
        <w:tc>
          <w:tcPr/>
          <w:p>
            <w:pPr>
              <w:pStyle w:val="Compact"/>
            </w:pPr>
            <w:r>
              <w:t xml:space="preserve">One logical store can safely serve many trust domains; you no longer shard</w:t>
            </w:r>
            <w:r>
              <w:t xml:space="preserve"> </w:t>
            </w:r>
            <w:r>
              <w:rPr>
                <w:i/>
                <w:iCs/>
              </w:rPr>
              <w:t xml:space="preserve">for security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SSOT discipline</w:t>
            </w:r>
          </w:p>
        </w:tc>
        <w:tc>
          <w:tcPr/>
          <w:p>
            <w:pPr>
              <w:pStyle w:val="Compact"/>
            </w:pPr>
            <w:r>
              <w:t xml:space="preserve">The reconciliation cost of many divergent copies</w:t>
            </w:r>
          </w:p>
        </w:tc>
        <w:tc>
          <w:tcPr/>
          <w:p>
            <w:pPr>
              <w:pStyle w:val="Compact"/>
            </w:pPr>
            <w:r>
              <w:t xml:space="preserve">Fewer authoritative copies means less drift, fewer</w:t>
            </w:r>
            <w:r>
              <w:t xml:space="preserve"> </w:t>
            </w:r>
            <w:r>
              <w:t xml:space="preserve">“which number is correct?”</w:t>
            </w:r>
            <w:r>
              <w:t xml:space="preserve"> </w:t>
            </w:r>
            <w:r>
              <w:t xml:space="preserve">incidents, and a model one engineer can hold.</w:t>
            </w:r>
          </w:p>
        </w:tc>
      </w:tr>
    </w:tbl>
    <w:p>
      <w:pPr>
        <w:pStyle w:val="BodyText"/>
      </w:pPr>
      <w:r>
        <w:t xml:space="preserve">Each force is real, and together they justify pulling authority back toward the</w:t>
      </w:r>
      <w:r>
        <w:t xml:space="preserve"> </w:t>
      </w:r>
      <w:r>
        <w:t xml:space="preserve">center. The microservices-era fragmentation created drift that the original</w:t>
      </w:r>
      <w:r>
        <w:t xml:space="preserve"> </w:t>
      </w:r>
      <w:r>
        <w:t xml:space="preserve">gospel never budgeted for; consolidating the</w:t>
      </w:r>
      <w:r>
        <w:t xml:space="preserve"> </w:t>
      </w:r>
      <w:r>
        <w:rPr>
          <w:i/>
          <w:iCs/>
        </w:rPr>
        <w:t xml:space="preserve">truth</w:t>
      </w:r>
      <w:r>
        <w:t xml:space="preserve"> </w:t>
      </w:r>
      <w:r>
        <w:t xml:space="preserve">is a defensible, and</w:t>
      </w:r>
      <w:r>
        <w:t xml:space="preserve"> </w:t>
      </w:r>
      <w:r>
        <w:t xml:space="preserve">increasingly common, correction.</w:t>
      </w:r>
    </w:p>
    <w:p>
      <w:pPr>
        <w:pStyle w:val="CaptionedFigure"/>
      </w:pPr>
      <w:r>
        <w:drawing>
          <wp:inline>
            <wp:extent cx="5334000" cy="2159821"/>
            <wp:effectExtent b="0" l="0" r="0" t="0"/>
            <wp:docPr descr="Three forces push toward logical centralization; physical centralization stops at the speed-of-light floor." title="" id="11" name="Picture"/>
            <a:graphic>
              <a:graphicData uri="http://schemas.openxmlformats.org/drawingml/2006/picture">
                <pic:pic>
                  <pic:nvPicPr>
                    <pic:cNvPr descr="../images/diagrams/ssot-network-physics/svg/ch00-three-forces.svg" id="1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9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Three forces push toward logical centralization; physical centralization stops at the speed-of-light floor.</w:t>
      </w:r>
    </w:p>
    <w:bookmarkEnd w:id="13"/>
    <w:bookmarkStart w:id="17" w:name="the-distinction-that-prevents-the-trap"/>
    <w:p>
      <w:pPr>
        <w:pStyle w:val="Heading2"/>
      </w:pPr>
      <w:r>
        <w:t xml:space="preserve">The distinction that prevents the trap</w:t>
      </w:r>
    </w:p>
    <w:p>
      <w:pPr>
        <w:pStyle w:val="FirstParagraph"/>
      </w:pPr>
      <w:r>
        <w:t xml:space="preserve">The single most important idea in this paper is the separation of two things</w:t>
      </w:r>
      <w:r>
        <w:t xml:space="preserve"> </w:t>
      </w:r>
      <w:r>
        <w:t xml:space="preserve">that the word</w:t>
      </w:r>
      <w:r>
        <w:t xml:space="preserve"> </w:t>
      </w:r>
      <w:r>
        <w:t xml:space="preserve">“centralize”</w:t>
      </w:r>
      <w:r>
        <w:t xml:space="preserve"> </w:t>
      </w:r>
      <w:r>
        <w:t xml:space="preserve">carelessly fuses: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Logical centralization is good; physical centralization hits walls.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Centralize the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truth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— one authoritative source of record. Distribute the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copies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— read replicas, caches, edge stores — and keep them explicitly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subordinate, derived, and disposable.</w:t>
            </w:r>
            <w:r>
              <w:t xml:space="preserve"> </w:t>
            </w:r>
            <w:r>
              <w:t xml:space="preserve">A convenience copy must never be</w:t>
            </w:r>
            <w:r>
              <w:t xml:space="preserve"> </w:t>
            </w:r>
            <w:r>
              <w:t xml:space="preserve">allowed to quietly promote itself to a source of truth. That promotion is where</w:t>
            </w:r>
            <w:r>
              <w:t xml:space="preserve"> </w:t>
            </w:r>
            <w:r>
              <w:t xml:space="preserve">drift is born.</w:t>
            </w:r>
          </w:p>
          <w:p/>
        </w:tc>
      </w:tr>
    </w:tbl>
    <w:p>
      <w:pPr>
        <w:pStyle w:val="BodyText"/>
      </w:pPr>
      <w:r>
        <w:t xml:space="preserve">Physical centralization — one big server in one place — still runs into walls</w:t>
      </w:r>
      <w:r>
        <w:t xml:space="preserve"> </w:t>
      </w:r>
      <w:r>
        <w:t xml:space="preserve">that no amount of clever networking removes: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speed of light.</w:t>
      </w:r>
      <w:r>
        <w:t xml:space="preserve"> </w:t>
      </w:r>
      <w:r>
        <w:t xml:space="preserve">WAN got fast in</w:t>
      </w:r>
      <w:r>
        <w:t xml:space="preserve"> </w:t>
      </w:r>
      <w:r>
        <w:rPr>
          <w:i/>
          <w:iCs/>
        </w:rPr>
        <w:t xml:space="preserve">bandwidth</w:t>
      </w:r>
      <w:r>
        <w:t xml:space="preserve">; it did not get fast in</w:t>
      </w:r>
      <w:r>
        <w:t xml:space="preserve"> </w:t>
      </w:r>
      <w:r>
        <w:rPr>
          <w:i/>
          <w:iCs/>
        </w:rPr>
        <w:t xml:space="preserve">latency</w:t>
      </w:r>
      <w:r>
        <w:t xml:space="preserve">. Strong consistency across continents is a latency problem, and the</w:t>
      </w:r>
      <w:r>
        <w:t xml:space="preserve"> </w:t>
      </w:r>
      <w:r>
        <w:t xml:space="preserve">propagation floor is fixed by distance.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Blast radius.</w:t>
      </w:r>
      <w:r>
        <w:t xml:space="preserve"> </w:t>
      </w:r>
      <w:r>
        <w:t xml:space="preserve">One central server is one outage, one bad migration, one</w:t>
      </w:r>
      <w:r>
        <w:t xml:space="preserve"> </w:t>
      </w:r>
      <w:r>
        <w:t xml:space="preserve">noisy tenant away from taking everything down. Distribution is partly a</w:t>
      </w:r>
      <w:r>
        <w:t xml:space="preserve"> </w:t>
      </w:r>
      <w:r>
        <w:rPr>
          <w:i/>
          <w:iCs/>
        </w:rPr>
        <w:t xml:space="preserve">failure-domain</w:t>
      </w:r>
      <w:r>
        <w:t xml:space="preserve"> </w:t>
      </w:r>
      <w:r>
        <w:t xml:space="preserve">strategy, not only a performance one.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residency and sovereignty.</w:t>
      </w:r>
      <w:r>
        <w:t xml:space="preserve"> </w:t>
      </w:r>
      <w:r>
        <w:t xml:space="preserve">Some data legally cannot sit in one</w:t>
      </w:r>
      <w:r>
        <w:t xml:space="preserve"> </w:t>
      </w:r>
      <w:r>
        <w:t xml:space="preserve">central place, regardless of how good the network is. This veto is political,</w:t>
      </w:r>
      <w:r>
        <w:t xml:space="preserve"> </w:t>
      </w:r>
      <w:r>
        <w:t xml:space="preserve">not technical, so no technology removes it.</w:t>
      </w:r>
    </w:p>
    <w:bookmarkEnd w:id="17"/>
    <w:bookmarkStart w:id="18" w:name="the-wall-and-the-way-around-it"/>
    <w:p>
      <w:pPr>
        <w:pStyle w:val="Heading2"/>
      </w:pPr>
      <w:r>
        <w:t xml:space="preserve">The wall, and the way around it</w:t>
      </w:r>
    </w:p>
    <w:p>
      <w:pPr>
        <w:pStyle w:val="FirstParagraph"/>
      </w:pPr>
      <w:r>
        <w:t xml:space="preserve">Chapters 3 and 4 confront the speed-of-light tax directly and ask what</w:t>
      </w:r>
      <w:r>
        <w:t xml:space="preserve"> </w:t>
      </w:r>
      <w:r>
        <w:t xml:space="preserve">modern networking — specifically</w:t>
      </w:r>
      <w:r>
        <w:t xml:space="preserve"> </w:t>
      </w:r>
      <w:r>
        <w:rPr>
          <w:b/>
          <w:bCs/>
        </w:rPr>
        <w:t xml:space="preserve">SD-WAN differentiated transport</w:t>
      </w:r>
      <w:r>
        <w:t xml:space="preserve">, which</w:t>
      </w:r>
      <w:r>
        <w:t xml:space="preserve"> </w:t>
      </w:r>
      <w:r>
        <w:t xml:space="preserve">can steer latency-critical traffic onto a lean low-latency path while pushing</w:t>
      </w:r>
      <w:r>
        <w:t xml:space="preserve"> </w:t>
      </w:r>
      <w:r>
        <w:t xml:space="preserve">bulk traffic onto a fat slower one — can actually do for keeping large</w:t>
      </w:r>
      <w:r>
        <w:t xml:space="preserve"> </w:t>
      </w:r>
      <w:r>
        <w:t xml:space="preserve">databases in sync.</w:t>
      </w:r>
    </w:p>
    <w:p>
      <w:pPr>
        <w:pStyle w:val="BodyText"/>
      </w:pPr>
      <w:r>
        <w:t xml:space="preserve">The honest finding: SD-WAN attacks the (usually large) gap between the latency</w:t>
      </w:r>
      <w:r>
        <w:t xml:space="preserve"> </w:t>
      </w:r>
      <w:r>
        <w:t xml:space="preserve">you</w:t>
      </w:r>
      <w:r>
        <w:t xml:space="preserve"> </w:t>
      </w:r>
      <w:r>
        <w:rPr>
          <w:i/>
          <w:iCs/>
        </w:rPr>
        <w:t xml:space="preserve">observe</w:t>
      </w:r>
      <w:r>
        <w:t xml:space="preserve"> </w:t>
      </w:r>
      <w:r>
        <w:t xml:space="preserve">and the physical floor, and that gap is where most real-world</w:t>
      </w:r>
      <w:r>
        <w:t xml:space="preserve"> </w:t>
      </w:r>
      <w:r>
        <w:t xml:space="preserve">sync pain lives. It cannot move the floor itself. The architecturally correct</w:t>
      </w:r>
      <w:r>
        <w:t xml:space="preserve"> </w:t>
      </w:r>
      <w:r>
        <w:t xml:space="preserve">response, therefore, is not to make global synchronization fast — it is to</w:t>
      </w:r>
      <w:r>
        <w:t xml:space="preserve"> </w:t>
      </w:r>
      <w:r>
        <w:rPr>
          <w:b/>
          <w:bCs/>
        </w:rPr>
        <w:t xml:space="preserve">need less of it</w:t>
      </w:r>
      <w:r>
        <w:t xml:space="preserve">: keep strong consistency inside a region where it is nearly</w:t>
      </w:r>
      <w:r>
        <w:t xml:space="preserve"> </w:t>
      </w:r>
      <w:r>
        <w:t xml:space="preserve">free, and let everything that crosses a continent be asynchronous,</w:t>
      </w:r>
      <w:r>
        <w:t xml:space="preserve"> </w:t>
      </w:r>
      <w:r>
        <w:t xml:space="preserve">eventually-consistent, or merge-friendly by design.</w:t>
      </w:r>
    </w:p>
    <w:bookmarkEnd w:id="18"/>
    <w:bookmarkStart w:id="19" w:name="Xd6bc9bcabc64e29777a5f8392342a73655ee6d9"/>
    <w:p>
      <w:pPr>
        <w:pStyle w:val="Heading2"/>
      </w:pPr>
      <w:r>
        <w:t xml:space="preserve">The Federal Modernization Program reference example</w:t>
      </w:r>
    </w:p>
    <w:p>
      <w:pPr>
        <w:pStyle w:val="FirstParagraph"/>
      </w:pPr>
      <w:r>
        <w:t xml:space="preserve">The Federal Modernization Program’s own SaaS data plane already embodies this doctrine, and the paper uses</w:t>
      </w:r>
      <w:r>
        <w:t xml:space="preserve"> </w:t>
      </w:r>
      <w:r>
        <w:t xml:space="preserve">it as the worked example throughout: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One shared, single-region PostgreSQL store</w:t>
      </w:r>
      <w:r>
        <w:t xml:space="preserve"> </w:t>
      </w:r>
      <w:r>
        <w:t xml:space="preserve">is the tenant registry and</w:t>
      </w:r>
      <w:r>
        <w:t xml:space="preserve"> </w:t>
      </w:r>
      <w:r>
        <w:t xml:space="preserve">system of record — logical centralization (the program decision).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Passwordless, token-based authentication</w:t>
      </w:r>
      <w:r>
        <w:t xml:space="preserve"> </w:t>
      </w:r>
      <w:r>
        <w:t xml:space="preserve">(an Entra access token used as</w:t>
      </w:r>
      <w:r>
        <w:t xml:space="preserve"> </w:t>
      </w:r>
      <w:r>
        <w:t xml:space="preserve">the database password) makes that shared store safe to operate and removes</w:t>
      </w:r>
      <w:r>
        <w:t xml:space="preserve"> </w:t>
      </w:r>
      <w:r>
        <w:t xml:space="preserve">the highest-value secret in the deployment (the program decision) — the enabler force made</w:t>
      </w:r>
      <w:r>
        <w:t xml:space="preserve"> </w:t>
      </w:r>
      <w:r>
        <w:t xml:space="preserve">concrete.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control-plane</w:t>
      </w:r>
      <w:r>
        <w:rPr>
          <w:b/>
          <w:bCs/>
        </w:rPr>
        <w:t xml:space="preserve"> </w:t>
      </w:r>
      <w:r>
        <w:rPr>
          <w:b/>
          <w:bCs/>
        </w:rPr>
        <w:t xml:space="preserve">“stamp”</w:t>
      </w:r>
      <w:r>
        <w:t xml:space="preserve"> </w:t>
      </w:r>
      <w:r>
        <w:t xml:space="preserve">provisions dedicated, physically-isolated</w:t>
      </w:r>
      <w:r>
        <w:t xml:space="preserve"> </w:t>
      </w:r>
      <w:r>
        <w:t xml:space="preserve">resources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customers whose compliance posture requires it — the</w:t>
      </w:r>
      <w:r>
        <w:t xml:space="preserve"> </w:t>
      </w:r>
      <w:r>
        <w:t xml:space="preserve">distribute-where-you-must escape hatch, kept as an exception rather than the</w:t>
      </w:r>
      <w:r>
        <w:t xml:space="preserve"> </w:t>
      </w:r>
      <w:r>
        <w:t xml:space="preserve">default (the program decision).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global synchronous write path exists</w:t>
      </w:r>
      <w:r>
        <w:t xml:space="preserve">, on purpose — the Federal Modernization Program’s answer to</w:t>
      </w:r>
      <w:r>
        <w:t xml:space="preserve"> </w:t>
      </w:r>
      <w:r>
        <w:t xml:space="preserve">the speed-of-light tax is to not span it synchronously in the first place.</w:t>
      </w:r>
    </w:p>
    <w:bookmarkEnd w:id="19"/>
    <w:bookmarkStart w:id="20" w:name="how-to-read-this-paper"/>
    <w:p>
      <w:pPr>
        <w:pStyle w:val="Heading2"/>
      </w:pPr>
      <w:r>
        <w:t xml:space="preserve">How to read this paper</w:t>
      </w:r>
    </w:p>
    <w:p>
      <w:pPr>
        <w:pStyle w:val="FirstParagraph"/>
      </w:pPr>
      <w:r>
        <w:t xml:space="preserve">Chapter 1 makes the case for logical centralization and SSOT. Chapter 2 shows</w:t>
      </w:r>
      <w:r>
        <w:t xml:space="preserve"> </w:t>
      </w:r>
      <w:r>
        <w:t xml:space="preserve">why token-based security is the keystone that makes consolidation safe on the</w:t>
      </w:r>
      <w:r>
        <w:t xml:space="preserve"> </w:t>
      </w:r>
      <w:r>
        <w:t xml:space="preserve">data plane. Chapter 3 establishes the physics floor. Chapter 4 details what</w:t>
      </w:r>
      <w:r>
        <w:t xml:space="preserve"> </w:t>
      </w:r>
      <w:r>
        <w:t xml:space="preserve">SD-WAN can and cannot buy a database tier. Chapter 5 — forward-looking, on the</w:t>
      </w:r>
      <w:r>
        <w:t xml:space="preserve"> </w:t>
      </w:r>
      <w:r>
        <w:t xml:space="preserve">proposed the program decision transport plane — extends token-based security from data</w:t>
      </w:r>
      <w:r>
        <w:t xml:space="preserve"> </w:t>
      </w:r>
      <w:r>
        <w:rPr>
          <w:i/>
          <w:iCs/>
        </w:rPr>
        <w:t xml:space="preserve">access</w:t>
      </w:r>
      <w:r>
        <w:t xml:space="preserve"> </w:t>
      </w:r>
      <w:r>
        <w:t xml:space="preserve">to the network</w:t>
      </w:r>
      <w:r>
        <w:t xml:space="preserve"> </w:t>
      </w:r>
      <w:r>
        <w:rPr>
          <w:i/>
          <w:iCs/>
        </w:rPr>
        <w:t xml:space="preserve">path</w:t>
      </w:r>
      <w:r>
        <w:t xml:space="preserve"> </w:t>
      </w:r>
      <w:r>
        <w:t xml:space="preserve">itself, so</w:t>
      </w:r>
      <w:r>
        <w:t xml:space="preserve"> </w:t>
      </w:r>
      <w:r>
        <w:t xml:space="preserve">“identity is the new boundary”</w:t>
      </w:r>
      <w:r>
        <w:t xml:space="preserve"> </w:t>
      </w:r>
      <w:r>
        <w:t xml:space="preserve">holds</w:t>
      </w:r>
      <w:r>
        <w:t xml:space="preserve"> </w:t>
      </w:r>
      <w:r>
        <w:t xml:space="preserve">on both planes. Chapter 6 unifies the data and network layers into a single</w:t>
      </w:r>
      <w:r>
        <w:t xml:space="preserve"> </w:t>
      </w:r>
      <w:r>
        <w:t xml:space="preserve">design rule. Chapter 7 walks the Federal Modernization Program implementation end to end and names the</w:t>
      </w:r>
      <w:r>
        <w:t xml:space="preserve"> </w:t>
      </w:r>
      <w:r>
        <w:t xml:space="preserve">one risk this whole bet imports.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sv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Summary — The Centralization Question</dc:title>
  <dc:creator/>
  <cp:keywords/>
  <dcterms:created xsi:type="dcterms:W3CDTF">2026-10-19T10:11:39Z</dcterms:created>
  <dcterms:modified xsi:type="dcterms:W3CDTF">2026-10-19T10:11:39Z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Executive stakeholders · architects · CISO</vt:lpwstr>
  </property>
  <property fmtid="{D5CDD505-2E9C-101B-9397-08002B2CF9AE}" pid="4" name="biblio-config">
    <vt:lpwstr>True</vt:lpwstr>
  </property>
  <property fmtid="{D5CDD505-2E9C-101B-9397-08002B2CF9AE}" pid="5" name="canon-source">
    <vt:lpwstr>Synthesized analysis; the Federal Modernization Program claims trace to the program decision, the program decision, the program decision</vt:lpwstr>
  </property>
  <property fmtid="{D5CDD505-2E9C-101B-9397-08002B2CF9AE}" pid="6" name="chapter">
    <vt:lpwstr>0</vt:lpwstr>
  </property>
  <property fmtid="{D5CDD505-2E9C-101B-9397-08002B2CF9AE}" pid="7" name="date">
    <vt:lpwstr>2026-06-22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draft</vt:lpwstr>
  </property>
  <property fmtid="{D5CDD505-2E9C-101B-9397-08002B2CF9AE}" pid="14" name="lifecycle_review">
    <vt:lpwstr>2026-12-22</vt:lpwstr>
  </property>
  <property fmtid="{D5CDD505-2E9C-101B-9397-08002B2CF9AE}" pid="15" name="series-id">
    <vt:lpwstr>ssot-network-physics</vt:lpwstr>
  </property>
  <property fmtid="{D5CDD505-2E9C-101B-9397-08002B2CF9AE}" pid="16" name="subtitle">
    <vt:lpwstr>The pendulum, the three forces, and the wall that does not move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