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svg" ContentType="image/svg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Token-Based Security as the Enabler</w:t>
      </w:r>
    </w:p>
    <w:p>
      <w:pPr>
        <w:pStyle w:val="Subtitle"/>
      </w:pPr>
      <w:r>
        <w:t xml:space="preserve">How zero-trust identity removes the historical reason to fragment data</w:t>
      </w:r>
    </w:p>
    <w:p>
      <w:pPr>
        <w:pStyle w:val="Date"/>
      </w:pPr>
      <w:r>
        <w:t xml:space="preserve">2026-06-22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4" w:name="token-based-security-as-the-enabler"/>
    <w:p>
      <w:pPr>
        <w:pStyle w:val="Heading1"/>
      </w:pPr>
      <w:r>
        <w:t xml:space="preserve">Token-Based Security as the Enabler</w:t>
      </w:r>
    </w:p>
    <w:bookmarkStart w:id="9" w:name="why-this-is-the-keystone"/>
    <w:p>
      <w:pPr>
        <w:pStyle w:val="Heading2"/>
      </w:pPr>
      <w:r>
        <w:t xml:space="preserve">Why this is the keystone</w:t>
      </w:r>
    </w:p>
    <w:p>
      <w:pPr>
        <w:pStyle w:val="FirstParagraph"/>
      </w:pPr>
      <w:r>
        <w:t xml:space="preserve">Chapter 1 made the case for consolidating the source of truth. But there is a</w:t>
      </w:r>
      <w:r>
        <w:t xml:space="preserve"> </w:t>
      </w:r>
      <w:r>
        <w:t xml:space="preserve">reason the industry fragmented data in the first place that had nothing to do</w:t>
      </w:r>
      <w:r>
        <w:t xml:space="preserve"> </w:t>
      </w:r>
      <w:r>
        <w:t xml:space="preserve">with scale:</w:t>
      </w:r>
      <w:r>
        <w:t xml:space="preserve"> </w:t>
      </w:r>
      <w:r>
        <w:rPr>
          <w:b/>
          <w:bCs/>
        </w:rPr>
        <w:t xml:space="preserve">isolation by perimeter.</w:t>
      </w:r>
      <w:r>
        <w:t xml:space="preserve"> </w:t>
      </w:r>
      <w:r>
        <w:t xml:space="preserve">When the only way to enforce</w:t>
      </w:r>
      <w:r>
        <w:t xml:space="preserve"> </w:t>
      </w:r>
      <w:r>
        <w:t xml:space="preserve">“who may touch this data”</w:t>
      </w:r>
      <w:r>
        <w:t xml:space="preserve"> </w:t>
      </w:r>
      <w:r>
        <w:t xml:space="preserve">was network segmentation, the safest way to separate</w:t>
      </w:r>
      <w:r>
        <w:t xml:space="preserve"> </w:t>
      </w:r>
      <w:r>
        <w:t xml:space="preserve">two trust domains was to give them separate databases behind separate network</w:t>
      </w:r>
      <w:r>
        <w:t xml:space="preserve"> </w:t>
      </w:r>
      <w:r>
        <w:t xml:space="preserve">boundaries. Security, not performance, drove a great deal of the</w:t>
      </w:r>
      <w:r>
        <w:t xml:space="preserve"> </w:t>
      </w:r>
      <w:r>
        <w:t xml:space="preserve">fragmentation — and no hardware advance addresses it.</w:t>
      </w:r>
    </w:p>
    <w:p>
      <w:pPr>
        <w:pStyle w:val="BodyText"/>
      </w:pPr>
      <w:r>
        <w:t xml:space="preserve">Token-based, identity-centric (zero-trust) security is what dissolves that</w:t>
      </w:r>
      <w:r>
        <w:t xml:space="preserve"> </w:t>
      </w:r>
      <w:r>
        <w:t xml:space="preserve">reason. It is the keystone of the whole consolidation argument: without it, you</w:t>
      </w:r>
      <w:r>
        <w:t xml:space="preserve"> </w:t>
      </w:r>
      <w:r>
        <w:t xml:space="preserve">are forced back into per-domain physical isolation for safety, and the</w:t>
      </w:r>
      <w:r>
        <w:t xml:space="preserve"> </w:t>
      </w:r>
      <w:r>
        <w:t xml:space="preserve">single-source-of-truth story collapses. With it,</w:t>
      </w:r>
      <w:r>
        <w:t xml:space="preserve"> </w:t>
      </w:r>
      <w:r>
        <w:rPr>
          <w:b/>
          <w:bCs/>
        </w:rPr>
        <w:t xml:space="preserve">one logical store can serve</w:t>
      </w:r>
      <w:r>
        <w:rPr>
          <w:b/>
          <w:bCs/>
        </w:rPr>
        <w:t xml:space="preserve"> </w:t>
      </w:r>
      <w:r>
        <w:rPr>
          <w:b/>
          <w:bCs/>
        </w:rPr>
        <w:t xml:space="preserve">many trust domains safely</w:t>
      </w:r>
      <w:r>
        <w:t xml:space="preserve">, because the trust boundary travels with the</w:t>
      </w:r>
      <w:r>
        <w:t xml:space="preserve"> </w:t>
      </w:r>
      <w:r>
        <w:t xml:space="preserve">request rather than living in the network.</w:t>
      </w:r>
    </w:p>
    <w:bookmarkEnd w:id="9"/>
    <w:bookmarkStart w:id="13" w:name="the-shift-from-perimeter-to-identity"/>
    <w:p>
      <w:pPr>
        <w:pStyle w:val="Heading2"/>
      </w:pPr>
      <w:r>
        <w:t xml:space="preserve">The shift: from perimeter to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Perimeter model</w:t>
            </w:r>
          </w:p>
        </w:tc>
        <w:tc>
          <w:tcPr/>
          <w:p>
            <w:pPr>
              <w:pStyle w:val="Compact"/>
            </w:pPr>
            <w:r>
              <w:t xml:space="preserve">Token / zero-trust model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trust lives</w:t>
            </w:r>
          </w:p>
        </w:tc>
        <w:tc>
          <w:tcPr/>
          <w:p>
            <w:pPr>
              <w:pStyle w:val="Compact"/>
            </w:pPr>
            <w:r>
              <w:t xml:space="preserve">In the network location of the caller</w:t>
            </w:r>
          </w:p>
        </w:tc>
        <w:tc>
          <w:tcPr/>
          <w:p>
            <w:pPr>
              <w:pStyle w:val="Compact"/>
            </w:pPr>
            <w:r>
              <w:t xml:space="preserve">In a signed, verifiable claim the caller presents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Unit of isolation</w:t>
            </w:r>
          </w:p>
        </w:tc>
        <w:tc>
          <w:tcPr/>
          <w:p>
            <w:pPr>
              <w:pStyle w:val="Compact"/>
            </w:pPr>
            <w:r>
              <w:t xml:space="preserve">A network segment (and often a separate datastore)</w:t>
            </w:r>
          </w:p>
        </w:tc>
        <w:tc>
          <w:tcPr/>
          <w:p>
            <w:pPr>
              <w:pStyle w:val="Compact"/>
            </w:pPr>
            <w:r>
              <w:t xml:space="preserve">A verified identity, scoped per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Default posture</w:t>
            </w:r>
          </w:p>
        </w:tc>
        <w:tc>
          <w:tcPr/>
          <w:p>
            <w:pPr>
              <w:pStyle w:val="Compact"/>
            </w:pPr>
            <w:r>
              <w:t xml:space="preserve">Trust inside the perimeter</w:t>
            </w:r>
          </w:p>
        </w:tc>
        <w:tc>
          <w:tcPr/>
          <w:p>
            <w:pPr>
              <w:pStyle w:val="Compact"/>
            </w:pPr>
            <w:r>
              <w:t xml:space="preserve">Trust nothing; verify every request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Effect on data layout</w:t>
            </w:r>
          </w:p>
        </w:tc>
        <w:tc>
          <w:tcPr/>
          <w:p>
            <w:pPr>
              <w:pStyle w:val="Compact"/>
            </w:pPr>
            <w:r>
              <w:t xml:space="preserve">Encourages a store per trust domain</w:t>
            </w:r>
          </w:p>
        </w:tc>
        <w:tc>
          <w:tcPr/>
          <w:p>
            <w:pPr>
              <w:pStyle w:val="Compact"/>
            </w:pPr>
            <w:r>
              <w:t xml:space="preserve">Permits one store across many trust domains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Highest-value secret</w:t>
            </w:r>
          </w:p>
        </w:tc>
        <w:tc>
          <w:tcPr/>
          <w:p>
            <w:pPr>
              <w:pStyle w:val="Compact"/>
            </w:pPr>
            <w:r>
              <w:t xml:space="preserve">Long-lived credentials guarding the perimeter and the database</w:t>
            </w:r>
          </w:p>
        </w:tc>
        <w:tc>
          <w:tcPr/>
          <w:p>
            <w:pPr>
              <w:pStyle w:val="Compact"/>
            </w:pPr>
            <w:r>
              <w:t xml:space="preserve">None — short-lived tokens, minted on demand</w:t>
            </w:r>
          </w:p>
        </w:tc>
      </w:tr>
    </w:tbl>
    <w:p>
      <w:pPr>
        <w:pStyle w:val="BodyText"/>
      </w:pPr>
      <w:r>
        <w:t xml:space="preserve">The consequence for data architecture is direct:</w:t>
      </w:r>
      <w:r>
        <w:t xml:space="preserve"> </w:t>
      </w:r>
      <w:r>
        <w:rPr>
          <w:b/>
          <w:bCs/>
        </w:rPr>
        <w:t xml:space="preserve">you no longer shard for</w:t>
      </w:r>
      <w:r>
        <w:rPr>
          <w:b/>
          <w:bCs/>
        </w:rPr>
        <w:t xml:space="preserve"> </w:t>
      </w:r>
      <w:r>
        <w:rPr>
          <w:b/>
          <w:bCs/>
        </w:rPr>
        <w:t xml:space="preserve">security.</w:t>
      </w:r>
      <w:r>
        <w:t xml:space="preserve"> </w:t>
      </w:r>
      <w:r>
        <w:t xml:space="preserve">Two customers, two business units, two classification levels can</w:t>
      </w:r>
      <w:r>
        <w:t xml:space="preserve"> </w:t>
      </w:r>
      <w:r>
        <w:t xml:space="preserve">share a logical store when every request carries a cryptographically verifiable</w:t>
      </w:r>
      <w:r>
        <w:t xml:space="preserve"> </w:t>
      </w:r>
      <w:r>
        <w:t xml:space="preserve">statement of who is asking and what they are entitled to, and the store</w:t>
      </w:r>
      <w:r>
        <w:t xml:space="preserve"> </w:t>
      </w:r>
      <w:r>
        <w:t xml:space="preserve">enforces scoping on that statement.</w:t>
      </w:r>
    </w:p>
    <w:p>
      <w:pPr>
        <w:pStyle w:val="CaptionedFigure"/>
      </w:pPr>
      <w:r>
        <w:drawing>
          <wp:inline>
            <wp:extent cx="5334000" cy="2462388"/>
            <wp:effectExtent b="0" l="0" r="0" t="0"/>
            <wp:docPr descr="The perimeter model needs a store per trust domain; the token model lets one store serve many." title="" id="11" name="Picture"/>
            <a:graphic>
              <a:graphicData uri="http://schemas.openxmlformats.org/drawingml/2006/picture">
                <pic:pic>
                  <pic:nvPicPr>
                    <pic:cNvPr descr="../images/diagrams/ssot-network-physics/svg/ch02-perimeter-vs-token.svg" id="1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2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perimeter model needs a store per trust domain; the token model lets one store serve many.</w:t>
      </w:r>
    </w:p>
    <w:bookmarkEnd w:id="13"/>
    <w:bookmarkStart w:id="19" w:name="X885b39625a0b147f8b49187f5530b98f5ce8017"/>
    <w:p>
      <w:pPr>
        <w:pStyle w:val="Heading2"/>
      </w:pPr>
      <w:r>
        <w:t xml:space="preserve">How the Federal Modernization Program makes this concrete</w:t>
      </w:r>
    </w:p>
    <w:p>
      <w:pPr>
        <w:pStyle w:val="FirstParagraph"/>
      </w:pPr>
      <w:r>
        <w:t xml:space="preserve">The Federal Modernization Program’s SaaS plane is a working instance of this principle on both sides of the</w:t>
      </w:r>
      <w:r>
        <w:t xml:space="preserve"> </w:t>
      </w:r>
      <w:r>
        <w:t xml:space="preserve">connection — inbound (who is calling the service) and outbound (how the service</w:t>
      </w:r>
      <w:r>
        <w:t xml:space="preserve"> </w:t>
      </w:r>
      <w:r>
        <w:t xml:space="preserve">authenticates to its own database).</w:t>
      </w:r>
    </w:p>
    <w:bookmarkStart w:id="14" w:name="Xb4278308d2854758f1dbbd87a12562f453aac25"/>
    <w:p>
      <w:pPr>
        <w:pStyle w:val="Heading3"/>
      </w:pPr>
      <w:r>
        <w:t xml:space="preserve">Inbound: identity travels with the request</w:t>
      </w:r>
    </w:p>
    <w:p>
      <w:pPr>
        <w:pStyle w:val="FirstParagraph"/>
      </w:pPr>
      <w:r>
        <w:t xml:space="preserve">Many different customer Microsoft Entra tenants are governed by one operated</w:t>
      </w:r>
      <w:r>
        <w:t xml:space="preserve"> </w:t>
      </w:r>
      <w:r>
        <w:t xml:space="preserve">The Federal Modernization Program service. Requests arrive bearing Entra access tokens minted by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tenants. The data plane verifies each token’s signature against the issuing</w:t>
      </w:r>
      <w:r>
        <w:t xml:space="preserve"> </w:t>
      </w:r>
      <w:r>
        <w:t xml:space="preserve">tenant’s published keys (JWKS, RS256), reads the tenant identity from the</w:t>
      </w:r>
      <w:r>
        <w:t xml:space="preserve"> </w:t>
      </w:r>
      <w:r>
        <w:t xml:space="preserve">token’s</w:t>
      </w:r>
      <w:r>
        <w:t xml:space="preserve"> </w:t>
      </w:r>
      <w:r>
        <w:rPr>
          <w:rStyle w:val="VerbatimChar"/>
        </w:rPr>
        <w:t xml:space="preserve">tid</w:t>
      </w:r>
      <w:r>
        <w:t xml:space="preserve"> </w:t>
      </w:r>
      <w:r>
        <w:t xml:space="preserve">claim, and binds a tenant context for the life of the request</w:t>
      </w:r>
      <w:r>
        <w:t xml:space="preserve"> </w:t>
      </w:r>
      <w:r>
        <w:t xml:space="preserve">(the program decision). One shared, elastically-scaled data plane serves every customer —</w:t>
      </w:r>
      <w:r>
        <w:t xml:space="preserve"> </w:t>
      </w:r>
      <w:r>
        <w:t xml:space="preserve">and the isolation is enforced because the</w:t>
      </w:r>
      <w:r>
        <w:t xml:space="preserve"> </w:t>
      </w:r>
      <w:r>
        <w:rPr>
          <w:i/>
          <w:iCs/>
        </w:rPr>
        <w:t xml:space="preserve">identity</w:t>
      </w:r>
      <w:r>
        <w:t xml:space="preserve"> </w:t>
      </w:r>
      <w:r>
        <w:t xml:space="preserve">of the tenant is proven on</w:t>
      </w:r>
      <w:r>
        <w:t xml:space="preserve"> </w:t>
      </w:r>
      <w:r>
        <w:t xml:space="preserve">every single call, not assumed from a network location.</w:t>
      </w:r>
    </w:p>
    <w:bookmarkEnd w:id="14"/>
    <w:bookmarkStart w:id="18" w:name="Xab9adf916d7995f56f8353c19bbb8767b974f81"/>
    <w:p>
      <w:pPr>
        <w:pStyle w:val="Heading3"/>
      </w:pPr>
      <w:r>
        <w:t xml:space="preserve">Outbound: the database password disappears</w:t>
      </w:r>
    </w:p>
    <w:p>
      <w:pPr>
        <w:pStyle w:val="FirstParagraph"/>
      </w:pPr>
      <w:r>
        <w:t xml:space="preserve">The sharper demonstration is how the service authenticates</w:t>
      </w:r>
      <w:r>
        <w:t xml:space="preserve"> </w:t>
      </w:r>
      <w:r>
        <w:rPr>
          <w:i/>
          <w:iCs/>
        </w:rPr>
        <w:t xml:space="preserve">to its own</w:t>
      </w:r>
      <w:r>
        <w:rPr>
          <w:i/>
          <w:iCs/>
        </w:rPr>
        <w:t xml:space="preserve"> </w:t>
      </w:r>
      <w:r>
        <w:rPr>
          <w:i/>
          <w:iCs/>
        </w:rPr>
        <w:t xml:space="preserve">PostgreSQL store</w:t>
      </w:r>
      <w:r>
        <w:t xml:space="preserve">. Under</w:t>
      </w:r>
      <w:r>
        <w:t xml:space="preserve"> </w:t>
      </w:r>
      <w:r>
        <w:rPr>
          <w:b/>
          <w:bCs/>
        </w:rPr>
        <w:t xml:space="preserve">the program decision</w:t>
      </w:r>
      <w:r>
        <w:t xml:space="preserve">, the Federal Modernization Program uses passwordless authentication:</w:t>
      </w:r>
      <w:r>
        <w:t xml:space="preserve"> </w:t>
      </w:r>
      <w:r>
        <w:t xml:space="preserve">Azure Database for PostgreSQL Flexible Server accepts a short-lived Entra access</w:t>
      </w:r>
      <w:r>
        <w:t xml:space="preserve"> </w:t>
      </w:r>
      <w:r>
        <w:t xml:space="preserve">token</w:t>
      </w:r>
      <w:r>
        <w:t xml:space="preserve"> </w:t>
      </w:r>
      <w:r>
        <w:rPr>
          <w:i/>
          <w:iCs/>
        </w:rPr>
        <w:t xml:space="preserve">as the connection password</w:t>
      </w:r>
      <w:r>
        <w:t xml:space="preserve">. The service’s managed identity is bound as</w:t>
      </w:r>
      <w:r>
        <w:t xml:space="preserve"> </w:t>
      </w:r>
      <w:r>
        <w:t xml:space="preserve">the database’s Entra administrator, so the application connects with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long-lived database password at all.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highest-value secret is removed, not protected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stored database password is the single most valuable secret in a typical</w:t>
            </w:r>
            <w:r>
              <w:t xml:space="preserve"> </w:t>
            </w:r>
            <w:r>
              <w:t xml:space="preserve">deployment — steal it once and the central store is exposed. Token-based auth</w:t>
            </w:r>
            <w:r>
              <w:t xml:space="preserve"> </w:t>
            </w:r>
            <w:r>
              <w:t xml:space="preserve">does not guard that secret better; it</w:t>
            </w:r>
            <w:r>
              <w:t xml:space="preserve"> </w:t>
            </w:r>
            <w:r>
              <w:rPr>
                <w:b/>
                <w:bCs/>
              </w:rPr>
              <w:t xml:space="preserve">eliminates it.</w:t>
            </w:r>
            <w:r>
              <w:t xml:space="preserve"> </w:t>
            </w:r>
            <w:r>
              <w:t xml:space="preserve">The connection is</w:t>
            </w:r>
            <w:r>
              <w:t xml:space="preserve"> </w:t>
            </w:r>
            <w:r>
              <w:t xml:space="preserve">authorized by a token that is minted on demand, scoped to the database</w:t>
            </w:r>
            <w:r>
              <w:t xml:space="preserve"> </w:t>
            </w:r>
            <w:r>
              <w:t xml:space="preserve">audience, cached only briefly, and refreshed before expiry. There is nothing</w:t>
            </w:r>
            <w:r>
              <w:t xml:space="preserve"> </w:t>
            </w:r>
            <w:r>
              <w:t xml:space="preserve">durable to steal. (The Federal Modernization Program:</w:t>
            </w:r>
            <w:r>
              <w:t xml:space="preserve"> </w:t>
            </w:r>
            <w:r>
              <w:rPr>
                <w:rStyle w:val="VerbatimChar"/>
              </w:rPr>
              <w:t xml:space="preserve">fmp.saas.pg_auth</w:t>
            </w:r>
            <w:r>
              <w:t xml:space="preserve">, the program decision.)</w:t>
            </w:r>
          </w:p>
          <w:p/>
        </w:tc>
      </w:tr>
    </w:tbl>
    <w:p>
      <w:pPr>
        <w:pStyle w:val="BodyText"/>
      </w:pPr>
      <w:r>
        <w:t xml:space="preserve">Mechanically, a token provider acquires an access token scoped to the</w:t>
      </w:r>
      <w:r>
        <w:t xml:space="preserve"> </w:t>
      </w:r>
      <w:r>
        <w:t xml:space="preserve">OSSRDBMS audience for the correct sovereign cloud, caches it, and refreshes it</w:t>
      </w:r>
      <w:r>
        <w:t xml:space="preserve"> </w:t>
      </w:r>
      <w:r>
        <w:t xml:space="preserve">shortly before expiry so token acquisition stays off the hot path of every</w:t>
      </w:r>
      <w:r>
        <w:t xml:space="preserve"> </w:t>
      </w:r>
      <w:r>
        <w:t xml:space="preserve">connection while a near-expired token is never presented. The same connection</w:t>
      </w:r>
      <w:r>
        <w:t xml:space="preserve"> </w:t>
      </w:r>
      <w:r>
        <w:t xml:space="preserve">seam is provider-agnostic: an Entra token provider on Azure and an RDS-IAM</w:t>
      </w:r>
      <w:r>
        <w:t xml:space="preserve"> </w:t>
      </w:r>
      <w:r>
        <w:t xml:space="preserve">token provider on AWS both satisfy it, so passwordless auth works identically</w:t>
      </w:r>
      <w:r>
        <w:t xml:space="preserve"> </w:t>
      </w:r>
      <w:r>
        <w:t xml:space="preserve">across clouds.</w:t>
      </w:r>
    </w:p>
    <w:bookmarkEnd w:id="18"/>
    <w:bookmarkEnd w:id="19"/>
    <w:bookmarkStart w:id="20" w:name="Xd640292ed49296ee25ab26dbe8cda2e94902c12"/>
    <w:p>
      <w:pPr>
        <w:pStyle w:val="Heading2"/>
      </w:pPr>
      <w:r>
        <w:t xml:space="preserve">Why this makes centralization</w:t>
      </w:r>
      <w:r>
        <w:t xml:space="preserve"> </w:t>
      </w:r>
      <w:r>
        <w:rPr>
          <w:i/>
          <w:iCs/>
        </w:rPr>
        <w:t xml:space="preserve">safe</w:t>
      </w:r>
      <w:r>
        <w:t xml:space="preserve">, not merely possible</w:t>
      </w:r>
    </w:p>
    <w:p>
      <w:pPr>
        <w:pStyle w:val="FirstParagraph"/>
      </w:pPr>
      <w:r>
        <w:t xml:space="preserve">The combination of inbound token verification and outbound passwordless auth</w:t>
      </w:r>
      <w:r>
        <w:t xml:space="preserve"> </w:t>
      </w:r>
      <w:r>
        <w:t xml:space="preserve">changes the risk calculus that originally justified fragmentation: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perimeter to breach into a shared trust zone.</w:t>
      </w:r>
      <w:r>
        <w:t xml:space="preserve"> </w:t>
      </w:r>
      <w:r>
        <w:t xml:space="preserve">Every request re-proves</w:t>
      </w:r>
      <w:r>
        <w:t xml:space="preserve"> </w:t>
      </w:r>
      <w:r>
        <w:t xml:space="preserve">identity; there is no</w:t>
      </w:r>
      <w:r>
        <w:t xml:space="preserve"> </w:t>
      </w:r>
      <w:r>
        <w:t xml:space="preserve">“inside the firewall”</w:t>
      </w:r>
      <w:r>
        <w:t xml:space="preserve"> </w:t>
      </w:r>
      <w:r>
        <w:t xml:space="preserve">where a single foothold yields</w:t>
      </w:r>
      <w:r>
        <w:t xml:space="preserve"> </w:t>
      </w:r>
      <w:r>
        <w:t xml:space="preserve">ambient access to all tenants’ data.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long-lived database credential to exfiltrate.</w:t>
      </w:r>
      <w:r>
        <w:t xml:space="preserve"> </w:t>
      </w:r>
      <w:r>
        <w:t xml:space="preserve">The classic</w:t>
      </w:r>
      <w:r>
        <w:t xml:space="preserve"> </w:t>
      </w:r>
      <w:r>
        <w:t xml:space="preserve">“one leaked connection string compromises everything”</w:t>
      </w:r>
      <w:r>
        <w:t xml:space="preserve"> </w:t>
      </w:r>
      <w:r>
        <w:t xml:space="preserve">failure mode is</w:t>
      </w:r>
      <w:r>
        <w:t xml:space="preserve"> </w:t>
      </w:r>
      <w:r>
        <w:t xml:space="preserve">designed 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Per-request scoping replaces per-store isolation.</w:t>
      </w:r>
      <w:r>
        <w:t xml:space="preserve"> </w:t>
      </w:r>
      <w:r>
        <w:t xml:space="preserve">A tenant’s reach is</w:t>
      </w:r>
      <w:r>
        <w:t xml:space="preserve"> </w:t>
      </w:r>
      <w:r>
        <w:t xml:space="preserve">bounded by its verified identity on each call, so one store can hold many</w:t>
      </w:r>
      <w:r>
        <w:t xml:space="preserve"> </w:t>
      </w:r>
      <w:r>
        <w:t xml:space="preserve">tenants without that being a security downgrade relative to many stores.</w:t>
      </w:r>
    </w:p>
    <w:p>
      <w:pPr>
        <w:pStyle w:val="FirstParagraph"/>
      </w:pPr>
      <w:r>
        <w:t xml:space="preserve">This is the precise sense in which token security</w:t>
      </w:r>
      <w:r>
        <w:t xml:space="preserve"> </w:t>
      </w:r>
      <w:r>
        <w:rPr>
          <w:i/>
          <w:iCs/>
        </w:rPr>
        <w:t xml:space="preserve">earns the right to</w:t>
      </w:r>
      <w:r>
        <w:rPr>
          <w:i/>
          <w:iCs/>
        </w:rPr>
        <w:t xml:space="preserve"> </w:t>
      </w:r>
      <w:r>
        <w:rPr>
          <w:i/>
          <w:iCs/>
        </w:rPr>
        <w:t xml:space="preserve">centralize</w:t>
      </w:r>
      <w:r>
        <w:t xml:space="preserve">. The shared source of truth is not safe</w:t>
      </w:r>
      <w:r>
        <w:t xml:space="preserve"> </w:t>
      </w:r>
      <w:r>
        <w:rPr>
          <w:i/>
          <w:iCs/>
        </w:rPr>
        <w:t xml:space="preserve">despite</w:t>
      </w:r>
      <w:r>
        <w:t xml:space="preserve"> </w:t>
      </w:r>
      <w:r>
        <w:t xml:space="preserve">being shared; it</w:t>
      </w:r>
      <w:r>
        <w:t xml:space="preserve"> </w:t>
      </w:r>
      <w:r>
        <w:t xml:space="preserve">is safe</w:t>
      </w:r>
      <w:r>
        <w:t xml:space="preserve"> </w:t>
      </w:r>
      <w:r>
        <w:rPr>
          <w:i/>
          <w:iCs/>
        </w:rPr>
        <w:t xml:space="preserve">because</w:t>
      </w:r>
      <w:r>
        <w:t xml:space="preserve"> </w:t>
      </w:r>
      <w:r>
        <w:t xml:space="preserve">the security model moved from the network to the identity.</w:t>
      </w:r>
    </w:p>
    <w:p>
      <w:pPr>
        <w:pStyle w:val="BodyText"/>
      </w:pPr>
      <w:r>
        <w:t xml:space="preserve">That same move — a credential minted per event rather than a durable secret or a</w:t>
      </w:r>
      <w:r>
        <w:t xml:space="preserve"> </w:t>
      </w:r>
      <w:r>
        <w:t xml:space="preserve">standing session — applies one layer down, to the network</w:t>
      </w:r>
      <w:r>
        <w:t xml:space="preserve"> </w:t>
      </w:r>
      <w:r>
        <w:rPr>
          <w:i/>
          <w:iCs/>
        </w:rPr>
        <w:t xml:space="preserve">path</w:t>
      </w:r>
      <w:r>
        <w:t xml:space="preserve"> </w:t>
      </w:r>
      <w:r>
        <w:t xml:space="preserve">the request</w:t>
      </w:r>
      <w:r>
        <w:t xml:space="preserve"> </w:t>
      </w:r>
      <w:r>
        <w:t xml:space="preserve">rides on. Chapter 5 (forward-looking, on the proposed the program decision transport plane)</w:t>
      </w:r>
      <w:r>
        <w:t xml:space="preserve"> </w:t>
      </w:r>
      <w:r>
        <w:t xml:space="preserve">carries token-based security from data</w:t>
      </w:r>
      <w:r>
        <w:t xml:space="preserve"> </w:t>
      </w:r>
      <w:r>
        <w:rPr>
          <w:i/>
          <w:iCs/>
        </w:rPr>
        <w:t xml:space="preserve">access</w:t>
      </w:r>
      <w:r>
        <w:t xml:space="preserve"> </w:t>
      </w:r>
      <w:r>
        <w:t xml:space="preserve">onto the transport plane, so</w:t>
      </w:r>
      <w:r>
        <w:t xml:space="preserve"> </w:t>
      </w:r>
      <w:r>
        <w:t xml:space="preserve">“identity is the new boundary”</w:t>
      </w:r>
      <w:r>
        <w:t xml:space="preserve"> </w:t>
      </w:r>
      <w:r>
        <w:t xml:space="preserve">holds end to end rather than only at the store.</w:t>
      </w:r>
    </w:p>
    <w:bookmarkEnd w:id="20"/>
    <w:bookmarkStart w:id="21" w:name="X4b12b0810475c0c86f9c08041a94253963c9ebd"/>
    <w:p>
      <w:pPr>
        <w:pStyle w:val="Heading2"/>
      </w:pPr>
      <w:r>
        <w:t xml:space="preserve">The friction it removes — and the drift that follows</w:t>
      </w:r>
    </w:p>
    <w:p>
      <w:pPr>
        <w:pStyle w:val="FirstParagraph"/>
      </w:pPr>
      <w:r>
        <w:t xml:space="preserve">Chapter 1 argued that drift is born when teams create unofficial local copies</w:t>
      </w:r>
      <w:r>
        <w:t xml:space="preserve"> </w:t>
      </w:r>
      <w:r>
        <w:t xml:space="preserve">because the central store is too hard to reach. Token-based security attacks the</w:t>
      </w:r>
      <w:r>
        <w:t xml:space="preserve"> </w:t>
      </w:r>
      <w:r>
        <w:t xml:space="preserve">“too restricted to reach”</w:t>
      </w:r>
      <w:r>
        <w:t xml:space="preserve"> </w:t>
      </w:r>
      <w:r>
        <w:t xml:space="preserve">half of that friction directly. When access is a</w:t>
      </w:r>
      <w:r>
        <w:t xml:space="preserve"> </w:t>
      </w:r>
      <w:r>
        <w:t xml:space="preserve">matter of presenting the right scoped identity — rather than being granted a</w:t>
      </w:r>
      <w:r>
        <w:t xml:space="preserve"> </w:t>
      </w:r>
      <w:r>
        <w:t xml:space="preserve">network path, a firewall exception, and a shared secret — the central store</w:t>
      </w:r>
      <w:r>
        <w:t xml:space="preserve"> </w:t>
      </w:r>
      <w:r>
        <w:t xml:space="preserve">becomes</w:t>
      </w:r>
      <w:r>
        <w:t xml:space="preserve"> </w:t>
      </w:r>
      <w:r>
        <w:rPr>
          <w:i/>
          <w:iCs/>
        </w:rPr>
        <w:t xml:space="preserve">easier</w:t>
      </w:r>
      <w:r>
        <w:t xml:space="preserve"> </w:t>
      </w:r>
      <w:r>
        <w:t xml:space="preserve">to reach than standing up a private copy. Removing access</w:t>
      </w:r>
      <w:r>
        <w:t xml:space="preserve"> </w:t>
      </w:r>
      <w:r>
        <w:t xml:space="preserve">friction removes the incentive to fork, which removes the drift at its source.</w:t>
      </w:r>
      <w:r>
        <w:t xml:space="preserve"> </w:t>
      </w:r>
      <w:r>
        <w:t xml:space="preserve">Security, counter-intuitively, becomes a centralization</w:t>
      </w:r>
      <w:r>
        <w:t xml:space="preserve"> </w:t>
      </w:r>
      <w:r>
        <w:rPr>
          <w:i/>
          <w:iCs/>
        </w:rPr>
        <w:t xml:space="preserve">enabler</w:t>
      </w:r>
      <w:r>
        <w:t xml:space="preserve"> </w:t>
      </w:r>
      <w:r>
        <w:t xml:space="preserve">rather than a</w:t>
      </w:r>
      <w:r>
        <w:t xml:space="preserve"> </w:t>
      </w:r>
      <w:r>
        <w:t xml:space="preserve">fragmentation</w:t>
      </w:r>
      <w:r>
        <w:t xml:space="preserve"> </w:t>
      </w:r>
      <w:r>
        <w:rPr>
          <w:i/>
          <w:iCs/>
        </w:rPr>
        <w:t xml:space="preserve">driver</w:t>
      </w:r>
      <w:r>
        <w:t xml:space="preserve">.</w:t>
      </w:r>
    </w:p>
    <w:bookmarkEnd w:id="21"/>
    <w:bookmarkStart w:id="22" w:name="the-residual-constraint"/>
    <w:p>
      <w:pPr>
        <w:pStyle w:val="Heading2"/>
      </w:pPr>
      <w:r>
        <w:t xml:space="preserve">The residual constraint</w:t>
      </w:r>
    </w:p>
    <w:p>
      <w:pPr>
        <w:pStyle w:val="FirstParagraph"/>
      </w:pPr>
      <w:r>
        <w:t xml:space="preserve">Token security removes the</w:t>
      </w:r>
      <w:r>
        <w:t xml:space="preserve"> </w:t>
      </w:r>
      <w:r>
        <w:rPr>
          <w:i/>
          <w:iCs/>
        </w:rPr>
        <w:t xml:space="preserve">security</w:t>
      </w:r>
      <w:r>
        <w:t xml:space="preserve"> </w:t>
      </w:r>
      <w:r>
        <w:t xml:space="preserve">reason to fragment. It does not remove the</w:t>
      </w:r>
      <w:r>
        <w:t xml:space="preserve"> </w:t>
      </w:r>
      <w:r>
        <w:rPr>
          <w:i/>
          <w:iCs/>
        </w:rPr>
        <w:t xml:space="preserve">legal</w:t>
      </w:r>
      <w:r>
        <w:t xml:space="preserve"> </w:t>
      </w:r>
      <w:r>
        <w:t xml:space="preserve">one. Data-residency and sovereignty rules can still require that certain</w:t>
      </w:r>
      <w:r>
        <w:t xml:space="preserve"> </w:t>
      </w:r>
      <w:r>
        <w:t xml:space="preserve">data physically reside in a certain place or boundary, and no identity model</w:t>
      </w:r>
      <w:r>
        <w:t xml:space="preserve"> </w:t>
      </w:r>
      <w:r>
        <w:t xml:space="preserve">overrides a regulator. The Federal Modernization Program handles this not by fragmenting the default plane</w:t>
      </w:r>
      <w:r>
        <w:t xml:space="preserve"> </w:t>
      </w:r>
      <w:r>
        <w:t xml:space="preserve">but by provisioning a dedicated, physically-isolated</w:t>
      </w:r>
      <w:r>
        <w:t xml:space="preserve"> </w:t>
      </w:r>
      <w:r>
        <w:rPr>
          <w:b/>
          <w:bCs/>
        </w:rPr>
        <w:t xml:space="preserve">stamp</w:t>
      </w:r>
      <w:r>
        <w:t xml:space="preserve"> </w:t>
      </w:r>
      <w:r>
        <w:t xml:space="preserve">for the</w:t>
      </w:r>
      <w:r>
        <w:t xml:space="preserve"> </w:t>
      </w:r>
      <w:r>
        <w:t xml:space="preserve">customers who require it (Chapter 7, the program decision), and by carrying sovereign-cloud</w:t>
      </w:r>
      <w:r>
        <w:t xml:space="preserve"> </w:t>
      </w:r>
      <w:r>
        <w:t xml:space="preserve">token audiences explicitly in the auth layer (the OSSRDBMS scope differs for US</w:t>
      </w:r>
      <w:r>
        <w:t xml:space="preserve"> </w:t>
      </w:r>
      <w:r>
        <w:t xml:space="preserve">Government clouds; the program decision, the program decision). The default stays centralized and safe;</w:t>
      </w:r>
      <w:r>
        <w:t xml:space="preserve"> </w:t>
      </w:r>
      <w:r>
        <w:t xml:space="preserve">the exception is provisioned deliberately, with its own boundary.</w:t>
      </w:r>
    </w:p>
    <w:bookmarkEnd w:id="22"/>
    <w:bookmarkStart w:id="23" w:name="summary"/>
    <w:p>
      <w:pPr>
        <w:pStyle w:val="Heading2"/>
      </w:pPr>
      <w:r>
        <w:t xml:space="preserve">Summary</w:t>
      </w:r>
    </w:p>
    <w:p>
      <w:pPr>
        <w:pStyle w:val="Compact"/>
        <w:numPr>
          <w:ilvl w:val="0"/>
          <w:numId w:val="1002"/>
        </w:numPr>
      </w:pPr>
      <w:r>
        <w:t xml:space="preserve">Much historical data fragmentation was driven by</w:t>
      </w:r>
      <w:r>
        <w:t xml:space="preserve"> </w:t>
      </w:r>
      <w:r>
        <w:rPr>
          <w:i/>
          <w:iCs/>
        </w:rPr>
        <w:t xml:space="preserve">security through</w:t>
      </w:r>
      <w:r>
        <w:rPr>
          <w:i/>
          <w:iCs/>
        </w:rPr>
        <w:t xml:space="preserve"> </w:t>
      </w:r>
      <w:r>
        <w:rPr>
          <w:i/>
          <w:iCs/>
        </w:rPr>
        <w:t xml:space="preserve">perimeter</w:t>
      </w:r>
      <w:r>
        <w:t xml:space="preserve">, which no hardware advance addresses.</w:t>
      </w:r>
    </w:p>
    <w:p>
      <w:pPr>
        <w:pStyle w:val="Compact"/>
        <w:numPr>
          <w:ilvl w:val="0"/>
          <w:numId w:val="1002"/>
        </w:numPr>
      </w:pPr>
      <w:r>
        <w:t xml:space="preserve">Token-based, zero-trust security moves the trust boundary from the network</w:t>
      </w:r>
      <w:r>
        <w:t xml:space="preserve"> </w:t>
      </w:r>
      <w:r>
        <w:t xml:space="preserve">into a verifiable, per-request identity, so one store can serve many trust</w:t>
      </w:r>
      <w:r>
        <w:t xml:space="preserve"> </w:t>
      </w:r>
      <w:r>
        <w:t xml:space="preserve">domains.</w:t>
      </w:r>
    </w:p>
    <w:p>
      <w:pPr>
        <w:pStyle w:val="Compact"/>
        <w:numPr>
          <w:ilvl w:val="0"/>
          <w:numId w:val="1002"/>
        </w:numPr>
      </w:pPr>
      <w:r>
        <w:t xml:space="preserve">The Federal Modernization Program realizes this on both sides: inbound</w:t>
      </w:r>
      <w:r>
        <w:t xml:space="preserve"> </w:t>
      </w:r>
      <w:r>
        <w:rPr>
          <w:rStyle w:val="VerbatimChar"/>
        </w:rPr>
        <w:t xml:space="preserve">tid</w:t>
      </w:r>
      <w:r>
        <w:t xml:space="preserve">-claim verification per</w:t>
      </w:r>
      <w:r>
        <w:t xml:space="preserve"> </w:t>
      </w:r>
      <w:r>
        <w:t xml:space="preserve">request (the program decision) and outbound passwordless Postgres auth that removes the</w:t>
      </w:r>
      <w:r>
        <w:t xml:space="preserve"> </w:t>
      </w:r>
      <w:r>
        <w:t xml:space="preserve">highest-value secret entirely (the program decision).</w:t>
      </w:r>
    </w:p>
    <w:p>
      <w:pPr>
        <w:pStyle w:val="Compact"/>
        <w:numPr>
          <w:ilvl w:val="0"/>
          <w:numId w:val="1002"/>
        </w:numPr>
      </w:pPr>
      <w:r>
        <w:t xml:space="preserve">This makes centralization</w:t>
      </w:r>
      <w:r>
        <w:t xml:space="preserve"> </w:t>
      </w:r>
      <w:r>
        <w:rPr>
          <w:i/>
          <w:iCs/>
        </w:rPr>
        <w:t xml:space="preserve">safe</w:t>
      </w:r>
      <w:r>
        <w:t xml:space="preserve">, not merely possible — and it removes the</w:t>
      </w:r>
      <w:r>
        <w:t xml:space="preserve"> </w:t>
      </w:r>
      <w:r>
        <w:t xml:space="preserve">access friction that drives teams to create drift-prone shadow copies.</w:t>
      </w:r>
    </w:p>
    <w:p>
      <w:pPr>
        <w:pStyle w:val="Compact"/>
        <w:numPr>
          <w:ilvl w:val="0"/>
          <w:numId w:val="1002"/>
        </w:numPr>
      </w:pPr>
      <w:r>
        <w:t xml:space="preserve">The one reason to fragment that survives is legal residency, handled as a</w:t>
      </w:r>
      <w:r>
        <w:t xml:space="preserve"> </w:t>
      </w:r>
      <w:r>
        <w:t xml:space="preserve">deliberate stamped exception rather than as the default.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sv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Token-Based Security as the Enabler</dc:title>
  <dc:creator/>
  <cp:keywords/>
  <dcterms:created xsi:type="dcterms:W3CDTF">2026-10-19T10:11:39Z</dcterms:created>
  <dcterms:modified xsi:type="dcterms:W3CDTF">2026-10-19T10:11:39Z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CISO · zero-trust practitioners · platform engineers</vt:lpwstr>
  </property>
  <property fmtid="{D5CDD505-2E9C-101B-9397-08002B2CF9AE}" pid="4" name="biblio-config">
    <vt:lpwstr>True</vt:lpwstr>
  </property>
  <property fmtid="{D5CDD505-2E9C-101B-9397-08002B2CF9AE}" pid="5" name="canon-source">
    <vt:lpwstr>Synthesized analysis; the Federal Modernization Program claims trace to the program decision (passwordless Entra Postgres auth) and the program decision</vt:lpwstr>
  </property>
  <property fmtid="{D5CDD505-2E9C-101B-9397-08002B2CF9AE}" pid="6" name="chapter">
    <vt:lpwstr>2</vt:lpwstr>
  </property>
  <property fmtid="{D5CDD505-2E9C-101B-9397-08002B2CF9AE}" pid="7" name="date">
    <vt:lpwstr>2026-06-22</vt:lpwstr>
  </property>
  <property fmtid="{D5CDD505-2E9C-101B-9397-08002B2CF9AE}" pid="8" name="doc-type">
    <vt:lpwstr>series-chapter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draft</vt:lpwstr>
  </property>
  <property fmtid="{D5CDD505-2E9C-101B-9397-08002B2CF9AE}" pid="14" name="lifecycle_review">
    <vt:lpwstr>2026-12-22</vt:lpwstr>
  </property>
  <property fmtid="{D5CDD505-2E9C-101B-9397-08002B2CF9AE}" pid="15" name="series-id">
    <vt:lpwstr>ssot-network-physics</vt:lpwstr>
  </property>
  <property fmtid="{D5CDD505-2E9C-101B-9397-08002B2CF9AE}" pid="16" name="subtitle">
    <vt:lpwstr>How zero-trust identity removes the historical reason to fragment data</vt:lpwstr>
  </property>
  <property fmtid="{D5CDD505-2E9C-101B-9397-08002B2CF9AE}" pid="17" name="tiers_adopted">
    <vt:lpwstr/>
  </property>
  <property fmtid="{D5CDD505-2E9C-101B-9397-08002B2CF9AE}" pid="18" name="toc-title">
    <vt:lpwstr>Table of contents</vt:lpwstr>
  </property>
</Properties>
</file>