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svg" ContentType="image/svg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Matching Consistency Classes to Network Classes</w:t>
      </w:r>
    </w:p>
    <w:p>
      <w:pPr>
        <w:pStyle w:val="Subtitle"/>
      </w:pPr>
      <w:r>
        <w:t xml:space="preserve">The synthesis: aligning the data layer’s consistency model with the network layer’s transport tiers</w:t>
      </w:r>
    </w:p>
    <w:p>
      <w:pPr>
        <w:pStyle w:val="Date"/>
      </w:pPr>
      <w:r>
        <w:t xml:space="preserve">2026-06-22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1" w:name="Xf495392626e96157a7785591365012b92e890b9"/>
    <w:p>
      <w:pPr>
        <w:pStyle w:val="Heading1"/>
      </w:pPr>
      <w:r>
        <w:t xml:space="preserve">Matching Consistency Classes to Network Classes</w:t>
      </w:r>
    </w:p>
    <w:bookmarkStart w:id="12" w:name="the-single-design-rule"/>
    <w:p>
      <w:pPr>
        <w:pStyle w:val="Heading2"/>
      </w:pPr>
      <w:r>
        <w:t xml:space="preserve">The single design rule</w:t>
      </w:r>
    </w:p>
    <w:p>
      <w:pPr>
        <w:pStyle w:val="FirstParagraph"/>
      </w:pPr>
      <w:r>
        <w:t xml:space="preserve">The previous chapters converge on one rule that ties the data layer and the</w:t>
      </w:r>
      <w:r>
        <w:t xml:space="preserve"> </w:t>
      </w:r>
      <w:r>
        <w:t xml:space="preserve">network layer together: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Align consistency class with transport class.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layer’s question —</w:t>
            </w:r>
            <w:r>
              <w:t xml:space="preserve"> </w:t>
            </w:r>
            <w:r>
              <w:rPr>
                <w:i/>
                <w:iCs/>
              </w:rPr>
              <w:t xml:space="preserve">what must be strongly consistent versus what can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be eventually consistent</w:t>
            </w:r>
            <w:r>
              <w:t xml:space="preserve"> </w:t>
            </w:r>
            <w:r>
              <w:t xml:space="preserve">— is the same question, viewed from the other side,</w:t>
            </w:r>
            <w:r>
              <w:t xml:space="preserve"> </w:t>
            </w:r>
            <w:r>
              <w:t xml:space="preserve">as the network layer’s —</w:t>
            </w:r>
            <w:r>
              <w:t xml:space="preserve"> </w:t>
            </w:r>
            <w:r>
              <w:rPr>
                <w:i/>
                <w:iCs/>
              </w:rPr>
              <w:t xml:space="preserve">what rides the lean low-latency path versus the fat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bulk path.</w:t>
            </w:r>
            <w:r>
              <w:t xml:space="preserve"> </w:t>
            </w:r>
            <w:r>
              <w:t xml:space="preserve">When those two decisions agree, you get the best synchronization</w:t>
            </w:r>
            <w:r>
              <w:t xml:space="preserve"> </w:t>
            </w:r>
            <w:r>
              <w:t xml:space="preserve">physics permits. When they disagree, you pay for it.</w:t>
            </w:r>
          </w:p>
          <w:p/>
        </w:tc>
      </w:tr>
    </w:tbl>
    <w:p>
      <w:pPr>
        <w:pStyle w:val="BodyText"/>
      </w:pPr>
      <w:r>
        <w:t xml:space="preserve">A mismatch is expensive in both directions. Putting strong-consistency traffic</w:t>
      </w:r>
      <w:r>
        <w:t xml:space="preserve"> </w:t>
      </w:r>
      <w:r>
        <w:t xml:space="preserve">on the bulk path inflicts the bulk path’s latency and tail on your commits.</w:t>
      </w:r>
      <w:r>
        <w:t xml:space="preserve"> </w:t>
      </w:r>
      <w:r>
        <w:t xml:space="preserve">Putting trivial asynchronous replication on the premium low-latency path wastes</w:t>
      </w:r>
      <w:r>
        <w:t xml:space="preserve"> </w:t>
      </w:r>
      <w:r>
        <w:t xml:space="preserve">the scarce resource that your consensus quorum actually needs. The architecture</w:t>
      </w:r>
      <w:r>
        <w:t xml:space="preserve"> </w:t>
      </w:r>
      <w:r>
        <w:t xml:space="preserve">works when each class of data rides the class of transport built for it.</w:t>
      </w:r>
    </w:p>
    <w:bookmarkEnd w:id="12"/>
    <w:bookmarkStart w:id="16" w:name="the-mapping"/>
    <w:p>
      <w:pPr>
        <w:pStyle w:val="Heading2"/>
      </w:pPr>
      <w:r>
        <w:t xml:space="preserve">The mapping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 need</w:t>
            </w:r>
          </w:p>
        </w:tc>
        <w:tc>
          <w:tcPr/>
          <w:p>
            <w:pPr>
              <w:pStyle w:val="Compact"/>
            </w:pPr>
            <w:r>
              <w:t xml:space="preserve">Consistency model</w:t>
            </w:r>
          </w:p>
        </w:tc>
        <w:tc>
          <w:tcPr/>
          <w:p>
            <w:pPr>
              <w:pStyle w:val="Compact"/>
            </w:pPr>
            <w:r>
              <w:t xml:space="preserve">Network class</w:t>
            </w:r>
          </w:p>
        </w:tc>
        <w:tc>
          <w:tcPr/>
          <w:p>
            <w:pPr>
              <w:pStyle w:val="Compact"/>
            </w:pPr>
            <w:r>
              <w:t xml:space="preserve">Crosses regions synchronously?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Authoritative writes to the source of truth</w:t>
            </w:r>
          </w:p>
        </w:tc>
        <w:tc>
          <w:tcPr/>
          <w:p>
            <w:pPr>
              <w:pStyle w:val="Compact"/>
            </w:pPr>
            <w:r>
              <w:t xml:space="preserve">Strong / serializable</w:t>
            </w:r>
          </w:p>
        </w:tc>
        <w:tc>
          <w:tcPr/>
          <w:p>
            <w:pPr>
              <w:pStyle w:val="Compact"/>
            </w:pPr>
            <w:r>
              <w:t xml:space="preserve">Lean, low-latency</w:t>
            </w:r>
          </w:p>
        </w:tc>
        <w:tc>
          <w:tcPr/>
          <w:p>
            <w:pPr>
              <w:pStyle w:val="Compact"/>
            </w:pPr>
            <w:r>
              <w:t xml:space="preserve">No — kept intra-region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Quorum durability across nearby zones</w:t>
            </w:r>
          </w:p>
        </w:tc>
        <w:tc>
          <w:tcPr/>
          <w:p>
            <w:pPr>
              <w:pStyle w:val="Compact"/>
            </w:pPr>
            <w:r>
              <w:t xml:space="preserve">Synchronous replication</w:t>
            </w:r>
          </w:p>
        </w:tc>
        <w:tc>
          <w:tcPr/>
          <w:p>
            <w:pPr>
              <w:pStyle w:val="Compact"/>
            </w:pPr>
            <w:r>
              <w:t xml:space="preserve">Lean, low-latency</w:t>
            </w:r>
          </w:p>
        </w:tc>
        <w:tc>
          <w:tcPr/>
          <w:p>
            <w:pPr>
              <w:pStyle w:val="Compact"/>
            </w:pPr>
            <w:r>
              <w:t xml:space="preserve">Within a region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Cross-region durability / disaster recovery</w:t>
            </w:r>
          </w:p>
        </w:tc>
        <w:tc>
          <w:tcPr/>
          <w:p>
            <w:pPr>
              <w:pStyle w:val="Compact"/>
            </w:pPr>
            <w:r>
              <w:t xml:space="preserve">Asynchronous replication</w:t>
            </w:r>
          </w:p>
        </w:tc>
        <w:tc>
          <w:tcPr/>
          <w:p>
            <w:pPr>
              <w:pStyle w:val="Compact"/>
            </w:pPr>
            <w:r>
              <w:t xml:space="preserve">Fat, bulk</w:t>
            </w:r>
          </w:p>
        </w:tc>
        <w:tc>
          <w:tcPr/>
          <w:p>
            <w:pPr>
              <w:pStyle w:val="Compact"/>
            </w:pPr>
            <w:r>
              <w:t xml:space="preserve">No — async by design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Read-mostly access far from the writer</w:t>
            </w:r>
          </w:p>
        </w:tc>
        <w:tc>
          <w:tcPr/>
          <w:p>
            <w:pPr>
              <w:pStyle w:val="Compact"/>
            </w:pPr>
            <w:r>
              <w:t xml:space="preserve">Bounded staleness / read replica</w:t>
            </w:r>
          </w:p>
        </w:tc>
        <w:tc>
          <w:tcPr/>
          <w:p>
            <w:pPr>
              <w:pStyle w:val="Compact"/>
            </w:pPr>
            <w:r>
              <w:t xml:space="preserve">Fat, bulk (refresh)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Multi-writer collaborative data</w:t>
            </w:r>
          </w:p>
        </w:tc>
        <w:tc>
          <w:tcPr/>
          <w:p>
            <w:pPr>
              <w:pStyle w:val="Compact"/>
            </w:pPr>
            <w:r>
              <w:t xml:space="preserve">Causal / CRDT merge</w:t>
            </w:r>
          </w:p>
        </w:tc>
        <w:tc>
          <w:tcPr/>
          <w:p>
            <w:pPr>
              <w:pStyle w:val="Compact"/>
            </w:pPr>
            <w:r>
              <w:t xml:space="preserve">Fat, bulk</w:t>
            </w:r>
          </w:p>
        </w:tc>
        <w:tc>
          <w:tcPr/>
          <w:p>
            <w:pPr>
              <w:pStyle w:val="Compact"/>
            </w:pPr>
            <w:r>
              <w:t xml:space="preserve">No — merges, not round trips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Analytics / reporting</w:t>
            </w:r>
          </w:p>
        </w:tc>
        <w:tc>
          <w:tcPr/>
          <w:p>
            <w:pPr>
              <w:pStyle w:val="Compact"/>
            </w:pPr>
            <w:r>
              <w:t xml:space="preserve">Eventual</w:t>
            </w:r>
          </w:p>
        </w:tc>
        <w:tc>
          <w:tcPr/>
          <w:p>
            <w:pPr>
              <w:pStyle w:val="Compact"/>
            </w:pPr>
            <w:r>
              <w:t xml:space="preserve">Fat, bulk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The pattern is stark:</w:t>
      </w:r>
      <w:r>
        <w:t xml:space="preserve"> </w:t>
      </w:r>
      <w:r>
        <w:rPr>
          <w:b/>
          <w:bCs/>
        </w:rPr>
        <w:t xml:space="preserve">only the top two rows ride the lean path, and neither</w:t>
      </w:r>
      <w:r>
        <w:rPr>
          <w:b/>
          <w:bCs/>
        </w:rPr>
        <w:t xml:space="preserve"> </w:t>
      </w:r>
      <w:r>
        <w:rPr>
          <w:b/>
          <w:bCs/>
        </w:rPr>
        <w:t xml:space="preserve">of them crosses a region synchronously.</w:t>
      </w:r>
      <w:r>
        <w:t xml:space="preserve"> </w:t>
      </w:r>
      <w:r>
        <w:t xml:space="preserve">Everything that spans distance is</w:t>
      </w:r>
      <w:r>
        <w:t xml:space="preserve"> </w:t>
      </w:r>
      <w:r>
        <w:t xml:space="preserve">asynchronous and rides the bulk path. That is the physics of Chapter 3 made</w:t>
      </w:r>
      <w:r>
        <w:t xml:space="preserve"> </w:t>
      </w:r>
      <w:r>
        <w:t xml:space="preserve">into a layout.</w:t>
      </w:r>
    </w:p>
    <w:p>
      <w:pPr>
        <w:pStyle w:val="CaptionedFigure"/>
      </w:pPr>
      <w:r>
        <w:drawing>
          <wp:inline>
            <wp:extent cx="5334000" cy="2735776"/>
            <wp:effectExtent b="0" l="0" r="0" t="0"/>
            <wp:docPr descr="Only intra-region flows need the lean path; everything that crosses regions is asynchronous on the bulk path." title="" id="14" name="Picture"/>
            <a:graphic>
              <a:graphicData uri="http://schemas.openxmlformats.org/drawingml/2006/picture">
                <pic:pic>
                  <pic:nvPicPr>
                    <pic:cNvPr descr="../images/diagrams/ssot-network-physics/svg/ch06-consistency-alignment.svg" id="1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5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Only intra-region flows need the lean path; everything that crosses regions is asynchronous on the bulk path.</w:t>
      </w:r>
    </w:p>
    <w:bookmarkEnd w:id="16"/>
    <w:bookmarkStart w:id="17" w:name="Xb03f755ca9a8685fda46ec7f42945131babc86e"/>
    <w:p>
      <w:pPr>
        <w:pStyle w:val="Heading2"/>
      </w:pPr>
      <w:r>
        <w:t xml:space="preserve">Techniques for needing less global synchronization</w:t>
      </w:r>
    </w:p>
    <w:p>
      <w:pPr>
        <w:pStyle w:val="FirstParagraph"/>
      </w:pPr>
      <w:r>
        <w:t xml:space="preserve">Chapter 3 concluded that the architectural goal across regions is to</w:t>
      </w:r>
      <w:r>
        <w:t xml:space="preserve"> </w:t>
      </w:r>
      <w:r>
        <w:rPr>
          <w:i/>
          <w:iCs/>
        </w:rPr>
        <w:t xml:space="preserve">need</w:t>
      </w:r>
      <w:r>
        <w:rPr>
          <w:i/>
          <w:iCs/>
        </w:rPr>
        <w:t xml:space="preserve"> </w:t>
      </w:r>
      <w:r>
        <w:rPr>
          <w:i/>
          <w:iCs/>
        </w:rPr>
        <w:t xml:space="preserve">fewer synchronous crossings</w:t>
      </w:r>
      <w:r>
        <w:t xml:space="preserve">. These are the concrete techniques, each of which</w:t>
      </w:r>
      <w:r>
        <w:t xml:space="preserve"> </w:t>
      </w:r>
      <w:r>
        <w:t xml:space="preserve">moves a workload off the lean cross-region path it cannot afford: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Strong within a region, asynchronous across regions.</w:t>
      </w:r>
      <w:r>
        <w:t xml:space="preserve"> </w:t>
      </w:r>
      <w:r>
        <w:t xml:space="preserve">At metro and</w:t>
      </w:r>
      <w:r>
        <w:t xml:space="preserve"> </w:t>
      </w:r>
      <w:r>
        <w:t xml:space="preserve">intra-continental distances the propagation floor is sub-millisecond to a few</w:t>
      </w:r>
      <w:r>
        <w:t xml:space="preserve"> </w:t>
      </w:r>
      <w:r>
        <w:t xml:space="preserve">milliseconds, so synchronous consistency is effectively free. Confine the</w:t>
      </w:r>
      <w:r>
        <w:t xml:space="preserve"> </w:t>
      </w:r>
      <w:r>
        <w:t xml:space="preserve">single-writer source of truth and its quorum to one region; replicate to other</w:t>
      </w:r>
      <w:r>
        <w:t xml:space="preserve"> </w:t>
      </w:r>
      <w:r>
        <w:t xml:space="preserve">regions asynchronously. This is the default for the overwhelming majority of</w:t>
      </w:r>
      <w:r>
        <w:t xml:space="preserve"> </w:t>
      </w:r>
      <w:r>
        <w:t xml:space="preserve">systems, and it is the Federal Modernization Program’s choice (Chapter 7).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Bounded staleness instead of strict global serializability.</w:t>
      </w:r>
      <w:r>
        <w:t xml:space="preserve"> </w:t>
      </w:r>
      <w:r>
        <w:t xml:space="preserve">Where the</w:t>
      </w:r>
      <w:r>
        <w:t xml:space="preserve"> </w:t>
      </w:r>
      <w:r>
        <w:t xml:space="preserve">business tolerates reads that are a known, small interval behind, you replace</w:t>
      </w:r>
      <w:r>
        <w:t xml:space="preserve"> </w:t>
      </w:r>
      <w:r>
        <w:t xml:space="preserve">a cross-region read round trip with a local read from a slightly-stale</w:t>
      </w:r>
      <w:r>
        <w:t xml:space="preserve"> </w:t>
      </w:r>
      <w:r>
        <w:t xml:space="preserve">replica. The staleness bound is a contract, not an accident.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consistency.</w:t>
      </w:r>
      <w:r>
        <w:t xml:space="preserve"> </w:t>
      </w:r>
      <w:r>
        <w:t xml:space="preserve">Preserve cause-and-effect ordering without paying for</w:t>
      </w:r>
      <w:r>
        <w:t xml:space="preserve"> </w:t>
      </w:r>
      <w:r>
        <w:t xml:space="preserve">total global ordering — far cheaper across distance, and sufficient for a</w:t>
      </w:r>
      <w:r>
        <w:t xml:space="preserve"> </w:t>
      </w:r>
      <w:r>
        <w:t xml:space="preserve">large class of application semantics.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Conflict-free replicated data types (CRDTs).</w:t>
      </w:r>
      <w:r>
        <w:t xml:space="preserve"> </w:t>
      </w:r>
      <w:r>
        <w:t xml:space="preserve">For genuinely multi-writer</w:t>
      </w:r>
      <w:r>
        <w:t xml:space="preserve"> </w:t>
      </w:r>
      <w:r>
        <w:t xml:space="preserve">data, CRDTs let independent replicas accept writes locally and</w:t>
      </w:r>
      <w:r>
        <w:t xml:space="preserve"> </w:t>
      </w:r>
      <w:r>
        <w:rPr>
          <w:i/>
          <w:iCs/>
        </w:rPr>
        <w:t xml:space="preserve">merge</w:t>
      </w:r>
      <w:r>
        <w:t xml:space="preserve"> </w:t>
      </w:r>
      <w:r>
        <w:t xml:space="preserve">deterministically, so cross-region traffic becomes a mergeable bulk-path</w:t>
      </w:r>
      <w:r>
        <w:t xml:space="preserve"> </w:t>
      </w:r>
      <w:r>
        <w:t xml:space="preserve">update rather than a coordination round trip. (Source: Shapiro et al.,</w:t>
      </w:r>
      <w:r>
        <w:t xml:space="preserve"> </w:t>
      </w:r>
      <w:r>
        <w:t xml:space="preserve">“Conflict-free Replicated Data Types,”</w:t>
      </w:r>
      <w:r>
        <w:t xml:space="preserve"> </w:t>
      </w:r>
      <w:r>
        <w:t xml:space="preserve">2011.) Distance stops being a</w:t>
      </w:r>
      <w:r>
        <w:t xml:space="preserve"> </w:t>
      </w:r>
      <w:r>
        <w:t xml:space="preserve">per-operation latency tax.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Witness / learner replicas placed by path.</w:t>
      </w:r>
      <w:r>
        <w:t xml:space="preserve"> </w:t>
      </w:r>
      <w:r>
        <w:t xml:space="preserve">Put voting quorum members on</w:t>
      </w:r>
      <w:r>
        <w:t xml:space="preserve"> </w:t>
      </w:r>
      <w:r>
        <w:t xml:space="preserve">the lean, low-latency links so quorum is decided by your fastest paths, while</w:t>
      </w:r>
      <w:r>
        <w:t xml:space="preserve"> </w:t>
      </w:r>
      <w:r>
        <w:t xml:space="preserve">non-voting learner replicas on the bulk path provide cross-region durability</w:t>
      </w:r>
      <w:r>
        <w:t xml:space="preserve"> </w:t>
      </w:r>
      <w:r>
        <w:t xml:space="preserve">and read scale without dragging the quorum across a continent.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Clock-based concurrency (Spanner/TrueTime).</w:t>
      </w:r>
      <w:r>
        <w:t xml:space="preserve"> </w:t>
      </w:r>
      <w:r>
        <w:t xml:space="preserve">Where strong cross-region</w:t>
      </w:r>
      <w:r>
        <w:t xml:space="preserve"> </w:t>
      </w:r>
      <w:r>
        <w:t xml:space="preserve">semantics are genuinely required, spend bounded clock uncertainty instead of</w:t>
      </w:r>
      <w:r>
        <w:t xml:space="preserve"> </w:t>
      </w:r>
      <w:r>
        <w:t xml:space="preserve">network round trips (Chapter 4), and carry the clock on the lean class.</w:t>
      </w:r>
    </w:p>
    <w:bookmarkEnd w:id="17"/>
    <w:bookmarkStart w:id="18" w:name="a-decision-procedure"/>
    <w:p>
      <w:pPr>
        <w:pStyle w:val="Heading2"/>
      </w:pPr>
      <w:r>
        <w:t xml:space="preserve">A decision procedure</w:t>
      </w:r>
    </w:p>
    <w:p>
      <w:pPr>
        <w:pStyle w:val="FirstParagraph"/>
      </w:pPr>
      <w:r>
        <w:t xml:space="preserve">For any given dataset, the layout falls out of three questions answered in</w:t>
      </w:r>
      <w:r>
        <w:t xml:space="preserve"> </w:t>
      </w:r>
      <w:r>
        <w:t xml:space="preserve">order: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Does this data have one source of truth?</w:t>
      </w:r>
      <w:r>
        <w:t xml:space="preserve"> </w:t>
      </w:r>
      <w:r>
        <w:t xml:space="preserve">It should (Chapter 1). Identify</w:t>
      </w:r>
      <w:r>
        <w:t xml:space="preserve"> </w:t>
      </w:r>
      <w:r>
        <w:t xml:space="preserve">the single authoritative writer. Everything else is a derived copy.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What is the weakest consistency the business actually tolerates for each</w:t>
      </w:r>
      <w:r>
        <w:rPr>
          <w:b/>
          <w:bCs/>
        </w:rPr>
        <w:t xml:space="preserve"> </w:t>
      </w:r>
      <w:r>
        <w:rPr>
          <w:b/>
          <w:bCs/>
        </w:rPr>
        <w:t xml:space="preserve">reader and writer?</w:t>
      </w:r>
      <w:r>
        <w:t xml:space="preserve"> </w:t>
      </w:r>
      <w:r>
        <w:t xml:space="preserve">Not the strongest you can imagine needing — the weakest</w:t>
      </w:r>
      <w:r>
        <w:t xml:space="preserve"> </w:t>
      </w:r>
      <w:r>
        <w:t xml:space="preserve">that is still correct. Strong only where required; bounded-stale, causal, or</w:t>
      </w:r>
      <w:r>
        <w:t xml:space="preserve"> </w:t>
      </w:r>
      <w:r>
        <w:t xml:space="preserve">eventual everywhere it suffices.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For each flow, which transport class matches?</w:t>
      </w:r>
      <w:r>
        <w:t xml:space="preserve"> </w:t>
      </w:r>
      <w:r>
        <w:t xml:space="preserve">Strong/synchronous flows</w:t>
      </w:r>
      <w:r>
        <w:t xml:space="preserve"> </w:t>
      </w:r>
      <w:r>
        <w:t xml:space="preserve">take the lean path and stay intra-region. Everything that crosses a region</w:t>
      </w:r>
      <w:r>
        <w:t xml:space="preserve"> </w:t>
      </w:r>
      <w:r>
        <w:t xml:space="preserve">takes the bulk path and is asynchronous or merge-based.</w:t>
      </w:r>
    </w:p>
    <w:p>
      <w:pPr>
        <w:pStyle w:val="FirstParagraph"/>
      </w:pPr>
      <w:r>
        <w:t xml:space="preserve">The output is a data-and-network layout in which the lean path carries a small</w:t>
      </w:r>
      <w:r>
        <w:t xml:space="preserve"> </w:t>
      </w:r>
      <w:r>
        <w:t xml:space="preserve">volume of latency-critical, intra-region consensus and clock traffic, and the</w:t>
      </w:r>
      <w:r>
        <w:t xml:space="preserve"> </w:t>
      </w:r>
      <w:r>
        <w:t xml:space="preserve">bulk path carries everything that spans distance — which is, by design,</w:t>
      </w:r>
      <w:r>
        <w:t xml:space="preserve"> </w:t>
      </w:r>
      <w:r>
        <w:t xml:space="preserve">latency-tolerant.</w:t>
      </w:r>
    </w:p>
    <w:bookmarkEnd w:id="18"/>
    <w:bookmarkStart w:id="19" w:name="the-risk-this-synthesis-imports"/>
    <w:p>
      <w:pPr>
        <w:pStyle w:val="Heading2"/>
      </w:pPr>
      <w:r>
        <w:t xml:space="preserve">The risk this synthesis imports</w:t>
      </w:r>
    </w:p>
    <w:p>
      <w:pPr>
        <w:pStyle w:val="FirstParagraph"/>
      </w:pPr>
      <w:r>
        <w:t xml:space="preserve">Aligning the layers this way concentrates correctness into a small number of</w:t>
      </w:r>
      <w:r>
        <w:t xml:space="preserve"> </w:t>
      </w:r>
      <w:r>
        <w:t xml:space="preserve">places, and honesty requires naming the cost. When you centralize the source of</w:t>
      </w:r>
      <w:r>
        <w:t xml:space="preserve"> </w:t>
      </w:r>
      <w:r>
        <w:t xml:space="preserve">truth and enforce tenant or domain isolation</w:t>
      </w:r>
      <w:r>
        <w:t xml:space="preserve"> </w:t>
      </w:r>
      <w:r>
        <w:rPr>
          <w:i/>
          <w:iCs/>
        </w:rPr>
        <w:t xml:space="preserve">in code</w:t>
      </w:r>
      <w:r>
        <w:t xml:space="preserve"> </w:t>
      </w:r>
      <w:r>
        <w:t xml:space="preserve">(per-request identity</w:t>
      </w:r>
      <w:r>
        <w:t xml:space="preserve"> </w:t>
      </w:r>
      <w:r>
        <w:t xml:space="preserve">scoping, Chapter 2) rather than by physical separation, the</w:t>
      </w:r>
      <w:r>
        <w:t xml:space="preserve"> </w:t>
      </w:r>
      <w:r>
        <w:rPr>
          <w:b/>
          <w:bCs/>
        </w:rPr>
        <w:t xml:space="preserve">blast radius moves</w:t>
      </w:r>
      <w:r>
        <w:rPr>
          <w:b/>
          <w:bCs/>
        </w:rPr>
        <w:t xml:space="preserve"> </w:t>
      </w:r>
      <w:r>
        <w:rPr>
          <w:b/>
          <w:bCs/>
        </w:rPr>
        <w:t xml:space="preserve">into that code path.</w:t>
      </w:r>
      <w:r>
        <w:t xml:space="preserve"> </w:t>
      </w:r>
      <w:r>
        <w:t xml:space="preserve">A bug in tenant resolution or namespace scoping is no</w:t>
      </w:r>
      <w:r>
        <w:t xml:space="preserve"> </w:t>
      </w:r>
      <w:r>
        <w:t xml:space="preserve">longer a contained, single-tenant fault — it is a potential cross-tenant data</w:t>
      </w:r>
      <w:r>
        <w:t xml:space="preserve"> </w:t>
      </w:r>
      <w:r>
        <w:t xml:space="preserve">exposure. This is the unavoidable trade of the whole consolidation bet: you</w:t>
      </w:r>
      <w:r>
        <w:t xml:space="preserve"> </w:t>
      </w:r>
      <w:r>
        <w:t xml:space="preserve">exchange the failure-domain isolation of many physical stores for the</w:t>
      </w:r>
      <w:r>
        <w:t xml:space="preserve"> </w:t>
      </w:r>
      <w:r>
        <w:t xml:space="preserve">simplicity and drift-resistance of one logical store, and in return you owe that</w:t>
      </w:r>
      <w:r>
        <w:t xml:space="preserve"> </w:t>
      </w:r>
      <w:r>
        <w:t xml:space="preserve">shared correctness path disproportionate engineering rigor — small, heavily</w:t>
      </w:r>
      <w:r>
        <w:t xml:space="preserve"> </w:t>
      </w:r>
      <w:r>
        <w:t xml:space="preserve">tested, and fail-closed. Chapter 7 shows where exactly that path lives in the Federal Modernization Program.</w:t>
      </w:r>
    </w:p>
    <w:p>
      <w:pPr>
        <w:pStyle w:val="BodyText"/>
      </w:pPr>
      <w:r>
        <w:t xml:space="preserve">A parallel obligation applies to the network classes themselves: the lean and</w:t>
      </w:r>
      <w:r>
        <w:t xml:space="preserve"> </w:t>
      </w:r>
      <w:r>
        <w:t xml:space="preserve">bulk paths are not merely</w:t>
      </w:r>
      <w:r>
        <w:t xml:space="preserve"> </w:t>
      </w:r>
      <w:r>
        <w:rPr>
          <w:i/>
          <w:iCs/>
        </w:rPr>
        <w:t xml:space="preserve">selected</w:t>
      </w:r>
      <w:r>
        <w:t xml:space="preserve"> </w:t>
      </w:r>
      <w:r>
        <w:t xml:space="preserve">but must be</w:t>
      </w:r>
      <w:r>
        <w:t xml:space="preserve"> </w:t>
      </w:r>
      <w:r>
        <w:rPr>
          <w:i/>
          <w:iCs/>
        </w:rPr>
        <w:t xml:space="preserve">governed</w:t>
      </w:r>
      <w:r>
        <w:t xml:space="preserve"> </w:t>
      </w:r>
      <w:r>
        <w:t xml:space="preserve">— token-bound and</w:t>
      </w:r>
      <w:r>
        <w:t xml:space="preserve"> </w:t>
      </w:r>
      <w:r>
        <w:t xml:space="preserve">auditable — or the transport layer becomes its own drift surface. Chapter 5</w:t>
      </w:r>
      <w:r>
        <w:t xml:space="preserve"> </w:t>
      </w:r>
      <w:r>
        <w:t xml:space="preserve">(forward-looking) develops that requirement.</w:t>
      </w:r>
    </w:p>
    <w:bookmarkEnd w:id="19"/>
    <w:bookmarkStart w:id="20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03"/>
        </w:numPr>
      </w:pPr>
      <w:r>
        <w:t xml:space="preserve">One rule unifies the paper: align the data layer’s consistency class with the</w:t>
      </w:r>
      <w:r>
        <w:t xml:space="preserve"> </w:t>
      </w:r>
      <w:r>
        <w:t xml:space="preserve">network layer’s transport class.</w:t>
      </w:r>
    </w:p>
    <w:p>
      <w:pPr>
        <w:pStyle w:val="Compact"/>
        <w:numPr>
          <w:ilvl w:val="0"/>
          <w:numId w:val="1003"/>
        </w:numPr>
      </w:pPr>
      <w:r>
        <w:t xml:space="preserve">Only authoritative writes and intra-region quorum durability ride the lean</w:t>
      </w:r>
      <w:r>
        <w:t xml:space="preserve"> </w:t>
      </w:r>
      <w:r>
        <w:t xml:space="preserve">path; everything that crosses a region is asynchronous on the bulk path.</w:t>
      </w:r>
    </w:p>
    <w:p>
      <w:pPr>
        <w:pStyle w:val="Compact"/>
        <w:numPr>
          <w:ilvl w:val="0"/>
          <w:numId w:val="1003"/>
        </w:numPr>
      </w:pPr>
      <w:r>
        <w:t xml:space="preserve">The toolkit for</w:t>
      </w:r>
      <w:r>
        <w:t xml:space="preserve"> </w:t>
      </w:r>
      <w:r>
        <w:t xml:space="preserve">“needing less global sync”</w:t>
      </w:r>
      <w:r>
        <w:t xml:space="preserve"> </w:t>
      </w:r>
      <w:r>
        <w:t xml:space="preserve">is concrete: strong-local/</w:t>
      </w:r>
      <w:r>
        <w:t xml:space="preserve"> </w:t>
      </w:r>
      <w:r>
        <w:t xml:space="preserve">async-remote, bounded staleness, causal consistency, CRDTs, path-placed</w:t>
      </w:r>
      <w:r>
        <w:t xml:space="preserve"> </w:t>
      </w:r>
      <w:r>
        <w:t xml:space="preserve">witnesses, and clock-based concurrency.</w:t>
      </w:r>
    </w:p>
    <w:p>
      <w:pPr>
        <w:pStyle w:val="Compact"/>
        <w:numPr>
          <w:ilvl w:val="0"/>
          <w:numId w:val="1003"/>
        </w:numPr>
      </w:pPr>
      <w:r>
        <w:t xml:space="preserve">A three-question decision procedure (one source of truth → weakest tolerable</w:t>
      </w:r>
      <w:r>
        <w:t xml:space="preserve"> </w:t>
      </w:r>
      <w:r>
        <w:t xml:space="preserve">consistency → matching transport) produces the layout.</w:t>
      </w:r>
    </w:p>
    <w:p>
      <w:pPr>
        <w:pStyle w:val="Compact"/>
        <w:numPr>
          <w:ilvl w:val="0"/>
          <w:numId w:val="1003"/>
        </w:numPr>
      </w:pPr>
      <w:r>
        <w:t xml:space="preserve">The bet concentrates correctness into the shared isolation path; that path</w:t>
      </w:r>
      <w:r>
        <w:t xml:space="preserve"> </w:t>
      </w:r>
      <w:r>
        <w:t xml:space="preserve">must be small, tested, and fail-closed — examined next in the Federal Modernization Program.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sv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Matching Consistency Classes to Network Classes</dc:title>
  <dc:creator/>
  <cp:keywords/>
  <dcterms:created xsi:type="dcterms:W3CDTF">2026-10-19T10:11:41Z</dcterms:created>
  <dcterms:modified xsi:type="dcterms:W3CDTF">2026-10-19T10:11:41Z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Architects · platform engineers · network engineers</vt:lpwstr>
  </property>
  <property fmtid="{D5CDD505-2E9C-101B-9397-08002B2CF9AE}" pid="4" name="biblio-config">
    <vt:lpwstr>True</vt:lpwstr>
  </property>
  <property fmtid="{D5CDD505-2E9C-101B-9397-08002B2CF9AE}" pid="5" name="canon-source">
    <vt:lpwstr>Synthesized analysis; external facts (CRDTs, consistency models) cited inline</vt:lpwstr>
  </property>
  <property fmtid="{D5CDD505-2E9C-101B-9397-08002B2CF9AE}" pid="6" name="chapter">
    <vt:lpwstr>6</vt:lpwstr>
  </property>
  <property fmtid="{D5CDD505-2E9C-101B-9397-08002B2CF9AE}" pid="7" name="date">
    <vt:lpwstr>2026-06-22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draft</vt:lpwstr>
  </property>
  <property fmtid="{D5CDD505-2E9C-101B-9397-08002B2CF9AE}" pid="14" name="lifecycle_review">
    <vt:lpwstr>2026-12-22</vt:lpwstr>
  </property>
  <property fmtid="{D5CDD505-2E9C-101B-9397-08002B2CF9AE}" pid="15" name="series-id">
    <vt:lpwstr>ssot-network-physics</vt:lpwstr>
  </property>
  <property fmtid="{D5CDD505-2E9C-101B-9397-08002B2CF9AE}" pid="16" name="subtitle">
    <vt:lpwstr>The synthesis: aligning the data layer’s consistency model with the network layer’s transport tiers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