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svg" ContentType="image/svg+xml"/>
  <Override PartName="/word/media/rId2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Reference Architecture — the Federal Modernization Program SaaS Data Plane</w:t>
      </w:r>
    </w:p>
    <w:p>
      <w:pPr>
        <w:pStyle w:val="Subtitle"/>
      </w:pPr>
      <w:r>
        <w:t xml:space="preserve">How the program decision and the program decision implement centralize-the-truth / distribute-the-copies in practice</w:t>
      </w:r>
    </w:p>
    <w:p>
      <w:pPr>
        <w:pStyle w:val="Date"/>
      </w:pPr>
      <w:r>
        <w:t xml:space="preserve">2026-06-22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8" w:name="X149338bd73ae0f981116fed1b2432329ad81b46"/>
    <w:p>
      <w:pPr>
        <w:pStyle w:val="Heading1"/>
      </w:pPr>
      <w:r>
        <w:t xml:space="preserve">Reference Architecture — the Federal Modernization Program SaaS Data Plane</w:t>
      </w:r>
    </w:p>
    <w:bookmarkStart w:id="9" w:name="Xd6f58a5bb9f6ecd6b0f751eaf86da4fd7fe150b"/>
    <w:p>
      <w:pPr>
        <w:pStyle w:val="Heading2"/>
      </w:pPr>
      <w:r>
        <w:t xml:space="preserve">Why the Federal Modernization Program is the worked example</w:t>
      </w:r>
    </w:p>
    <w:p>
      <w:pPr>
        <w:pStyle w:val="FirstParagraph"/>
      </w:pPr>
      <w:r>
        <w:t xml:space="preserve">The preceding chapters argued a doctrine: centralize the truth, distribute the</w:t>
      </w:r>
      <w:r>
        <w:t xml:space="preserve"> </w:t>
      </w:r>
      <w:r>
        <w:t xml:space="preserve">copies, let token security make centralization safe, and refuse to span the</w:t>
      </w:r>
      <w:r>
        <w:t xml:space="preserve"> </w:t>
      </w:r>
      <w:r>
        <w:t xml:space="preserve">speed of light synchronously. The Federal Modernization Program’s multi-tenant SaaS data plane was designed</w:t>
      </w:r>
      <w:r>
        <w:t xml:space="preserve"> </w:t>
      </w:r>
      <w:r>
        <w:t xml:space="preserve">to that doctrine before this paper named it. Reading the decision record back</w:t>
      </w:r>
      <w:r>
        <w:t xml:space="preserve"> </w:t>
      </w:r>
      <w:r>
        <w:t xml:space="preserve">through the framework shows the abstractions landing as concrete components —</w:t>
      </w:r>
      <w:r>
        <w:t xml:space="preserve"> </w:t>
      </w:r>
      <w:r>
        <w:t xml:space="preserve">and, importantly, shows where the one residual risk lives.</w:t>
      </w:r>
    </w:p>
    <w:p>
      <w:pPr>
        <w:pStyle w:val="BodyText"/>
      </w:pPr>
      <w:r>
        <w:t xml:space="preserve">The authoritative sources for everything in this chapter are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 </w:t>
      </w:r>
      <w:r>
        <w:t xml:space="preserve">(Azure</w:t>
      </w:r>
      <w:r>
        <w:t xml:space="preserve"> </w:t>
      </w:r>
      <w:r>
        <w:t xml:space="preserve">SaaS architecture),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 </w:t>
      </w:r>
      <w:r>
        <w:t xml:space="preserve">(passwordless Entra Postgres auth), and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 </w:t>
      </w:r>
      <w:r>
        <w:t xml:space="preserve">(the GCC-Moderate boundary) under</w:t>
      </w:r>
      <w:r>
        <w:t xml:space="preserve"> </w:t>
      </w:r>
      <w:r>
        <w:rPr>
          <w:rStyle w:val="VerbatimChar"/>
        </w:rPr>
        <w:t xml:space="preserve">src/fmp/canon/adr/</w:t>
      </w:r>
      <w:r>
        <w:t xml:space="preserve">.</w:t>
      </w:r>
    </w:p>
    <w:bookmarkEnd w:id="9"/>
    <w:bookmarkStart w:id="13" w:name="the-decision-in-the-papers-terms"/>
    <w:p>
      <w:pPr>
        <w:pStyle w:val="Heading2"/>
      </w:pPr>
      <w:r>
        <w:t xml:space="preserve">The decision, in the paper’s terms</w:t>
      </w:r>
    </w:p>
    <w:p>
      <w:pPr>
        <w:pStyle w:val="FirstParagraph"/>
      </w:pPr>
      <w:r>
        <w:t xml:space="preserve">The Federal Modernization Program offers governance-as-a-service: many customer Microsoft Entra tenants are</w:t>
      </w:r>
      <w:r>
        <w:t xml:space="preserve"> </w:t>
      </w:r>
      <w:r>
        <w:t xml:space="preserve">governed by one operated service. the program decision had to answer the central question of</w:t>
      </w:r>
      <w:r>
        <w:t xml:space="preserve"> </w:t>
      </w:r>
      <w:r>
        <w:t xml:space="preserve">this paper — one shared store or many — and chose, deliberately: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program decision, Decision 2–3 (paraphrased)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i/>
                <w:iCs/>
              </w:rPr>
              <w:t xml:space="preserve">One shared, elastically-scaled data plane with strong per-tenant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data-namespace isolation, plus a control plane that can stamp dedicated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resources where a customer’s compliance posture requires it.</w:t>
            </w:r>
            <w:r>
              <w:t xml:space="preserve"> </w:t>
            </w:r>
            <w:r>
              <w:t xml:space="preserve">The durable</w:t>
            </w:r>
            <w:r>
              <w:t xml:space="preserve"> </w:t>
            </w:r>
            <w:r>
              <w:t xml:space="preserve">tenant registry and per-tenant state live in</w:t>
            </w:r>
            <w:r>
              <w:t xml:space="preserve"> </w:t>
            </w:r>
            <w:r>
              <w:rPr>
                <w:b/>
                <w:bCs/>
              </w:rPr>
              <w:t xml:space="preserve">a single PostgreSQL Flexible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Server</w:t>
            </w:r>
            <w:r>
              <w:t xml:space="preserve">; the</w:t>
            </w:r>
            <w:r>
              <w:t xml:space="preserve"> </w:t>
            </w:r>
            <w:r>
              <w:rPr>
                <w:rStyle w:val="VerbatimChar"/>
              </w:rPr>
              <w:t xml:space="preserve">data_namespace</w:t>
            </w:r>
            <w:r>
              <w:t xml:space="preserve"> </w:t>
            </w:r>
            <w:r>
              <w:t xml:space="preserve">derived from each tenant’s GUID is the isolation</w:t>
            </w:r>
            <w:r>
              <w:t xml:space="preserve"> </w:t>
            </w:r>
            <w:r>
              <w:t xml:space="preserve">handle.</w:t>
            </w:r>
          </w:p>
          <w:p/>
        </w:tc>
      </w:tr>
    </w:tbl>
    <w:p>
      <w:pPr>
        <w:pStyle w:val="BodyText"/>
      </w:pPr>
      <w:r>
        <w:t xml:space="preserve">That is logical centralization (Chapter 1) with a deliberate physical-isolation</w:t>
      </w:r>
      <w:r>
        <w:t xml:space="preserve"> </w:t>
      </w:r>
      <w:r>
        <w:t xml:space="preserve">escape hatch (Chapters 1 and 2), expressed as an accepted decision.</w:t>
      </w:r>
    </w:p>
    <w:bookmarkEnd w:id="13"/>
    <w:bookmarkStart w:id="17" w:name="mapping-the-architecture-to-the-doctrine"/>
    <w:p>
      <w:pPr>
        <w:pStyle w:val="Heading2"/>
      </w:pPr>
      <w:r>
        <w:t xml:space="preserve">Mapping the architecture to the doctrine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Paper concept</w:t>
            </w:r>
          </w:p>
        </w:tc>
        <w:tc>
          <w:tcPr/>
          <w:p>
            <w:pPr>
              <w:pStyle w:val="Compact"/>
            </w:pPr>
            <w:r>
              <w:t xml:space="preserve">the Federal Modernization Program realization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logical source of truth</w:t>
            </w:r>
          </w:p>
        </w:tc>
        <w:tc>
          <w:tcPr/>
          <w:p>
            <w:pPr>
              <w:pStyle w:val="Compact"/>
            </w:pPr>
            <w:r>
              <w:t xml:space="preserve">Single PostgreSQL Flexible Server holds the</w:t>
            </w:r>
            <w:r>
              <w:t xml:space="preserve"> </w:t>
            </w:r>
            <w:r>
              <w:rPr>
                <w:rStyle w:val="VerbatimChar"/>
              </w:rPr>
              <w:t xml:space="preserve">saas_tenants</w:t>
            </w:r>
            <w:r>
              <w:t xml:space="preserve"> </w:t>
            </w:r>
            <w:r>
              <w:t xml:space="preserve">registry and per-tenant state</w:t>
            </w:r>
          </w:p>
        </w:tc>
        <w:tc>
          <w:tcPr/>
          <w:p>
            <w:pPr>
              <w:pStyle w:val="Compact"/>
            </w:pPr>
            <w:r>
              <w:t xml:space="preserve">the program decision, Decision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Token security, inbound</w:t>
            </w:r>
          </w:p>
        </w:tc>
        <w:tc>
          <w:tcPr/>
          <w:p>
            <w:pPr>
              <w:pStyle w:val="Compact"/>
            </w:pPr>
            <w:r>
              <w:t xml:space="preserve">Per-request</w:t>
            </w:r>
            <w:r>
              <w:t xml:space="preserve"> </w:t>
            </w:r>
            <w:r>
              <w:rPr>
                <w:rStyle w:val="VerbatimChar"/>
              </w:rPr>
              <w:t xml:space="preserve">tid</w:t>
            </w:r>
            <w:r>
              <w:t xml:space="preserve">-claim verification against the issuing tenant’s JWKS (RS256); non-onboarded / non-active tenants rejected with 403</w:t>
            </w:r>
          </w:p>
        </w:tc>
        <w:tc>
          <w:tcPr/>
          <w:p>
            <w:pPr>
              <w:pStyle w:val="Compact"/>
            </w:pPr>
            <w:r>
              <w:t xml:space="preserve">the program decision, Security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Token security, outbound</w:t>
            </w:r>
          </w:p>
        </w:tc>
        <w:tc>
          <w:tcPr/>
          <w:p>
            <w:pPr>
              <w:pStyle w:val="Compact"/>
            </w:pPr>
            <w:r>
              <w:t xml:space="preserve">Passwordless auth — a short-lived Entra token used</w:t>
            </w:r>
            <w:r>
              <w:t xml:space="preserve"> </w:t>
            </w:r>
            <w:r>
              <w:rPr>
                <w:i/>
                <w:iCs/>
              </w:rPr>
              <w:t xml:space="preserve">as</w:t>
            </w:r>
            <w:r>
              <w:t xml:space="preserve"> </w:t>
            </w:r>
            <w:r>
              <w:t xml:space="preserve">the Postgres password; no long-lived DB secret exists</w:t>
            </w:r>
          </w:p>
        </w:tc>
        <w:tc>
          <w:tcPr/>
          <w:p>
            <w:pPr>
              <w:pStyle w:val="Compact"/>
            </w:pPr>
            <w:r>
              <w:t xml:space="preserve">the program decision;</w:t>
            </w:r>
            <w:r>
              <w:t xml:space="preserve"> </w:t>
            </w:r>
            <w:r>
              <w:rPr>
                <w:rStyle w:val="VerbatimChar"/>
              </w:rPr>
              <w:t xml:space="preserve">fmp.saas.pg_auth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Distribute the copies</w:t>
            </w:r>
          </w:p>
        </w:tc>
        <w:tc>
          <w:tcPr/>
          <w:p>
            <w:pPr>
              <w:pStyle w:val="Compact"/>
            </w:pPr>
            <w:r>
              <w:t xml:space="preserve">Evidence bundles in Blob Storage; per-tenant secrets in Key Vault — derived, subordinate stores keyed by the same namespace</w:t>
            </w:r>
          </w:p>
        </w:tc>
        <w:tc>
          <w:tcPr/>
          <w:p>
            <w:pPr>
              <w:pStyle w:val="Compact"/>
            </w:pPr>
            <w:r>
              <w:t xml:space="preserve">the program decision, Decision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Compliance-stamped exception</w:t>
            </w:r>
          </w:p>
        </w:tc>
        <w:tc>
          <w:tcPr/>
          <w:p>
            <w:pPr>
              <w:pStyle w:val="Compact"/>
            </w:pPr>
            <w:r>
              <w:t xml:space="preserve">Control-plane</w:t>
            </w:r>
            <w:r>
              <w:t xml:space="preserve"> </w:t>
            </w:r>
            <w:r>
              <w:rPr>
                <w:rStyle w:val="VerbatimChar"/>
              </w:rPr>
              <w:t xml:space="preserve">ProvisioningService</w:t>
            </w:r>
            <w:r>
              <w:t xml:space="preserve"> </w:t>
            </w:r>
            <w:r>
              <w:t xml:space="preserve">stamps dedicated DB schema / Blob prefix / Key Vault scope for hard-isolation customers</w:t>
            </w:r>
          </w:p>
        </w:tc>
        <w:tc>
          <w:tcPr/>
          <w:p>
            <w:pPr>
              <w:pStyle w:val="Compact"/>
            </w:pPr>
            <w:r>
              <w:t xml:space="preserve">the program decision, Decision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Refuse to span light synchronously</w:t>
            </w:r>
          </w:p>
        </w:tc>
        <w:tc>
          <w:tcPr/>
          <w:p>
            <w:pPr>
              <w:pStyle w:val="Compact"/>
            </w:pPr>
            <w:r>
              <w:t xml:space="preserve">Single-region writer; no global synchronous multi-master commit path exists</w:t>
            </w:r>
          </w:p>
        </w:tc>
        <w:tc>
          <w:tcPr/>
          <w:p>
            <w:pPr>
              <w:pStyle w:val="Compact"/>
            </w:pPr>
            <w:r>
              <w:t xml:space="preserve">the program decision (single Flexible Server)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Sovereign-cloud readiness</w:t>
            </w:r>
          </w:p>
        </w:tc>
        <w:tc>
          <w:tcPr/>
          <w:p>
            <w:pPr>
              <w:pStyle w:val="Compact"/>
            </w:pPr>
            <w:r>
              <w:t xml:space="preserve">OSSRDBMS token audience and issuer/Graph/ARM resolution already branch per cloud (US Gov vs. commercial)</w:t>
            </w:r>
          </w:p>
        </w:tc>
        <w:tc>
          <w:tcPr/>
          <w:p>
            <w:pPr>
              <w:pStyle w:val="Compact"/>
            </w:pPr>
            <w:r>
              <w:t xml:space="preserve">the program decision, the program decision</w:t>
            </w:r>
          </w:p>
        </w:tc>
      </w:tr>
    </w:tbl>
    <w:p>
      <w:pPr>
        <w:pStyle w:val="CaptionedFigure"/>
      </w:pPr>
      <w:r>
        <w:drawing>
          <wp:inline>
            <wp:extent cx="5334000" cy="4445000"/>
            <wp:effectExtent b="0" l="0" r="0" t="0"/>
            <wp:docPr descr="The SaaS data plane: one shared registry, token security on both sides, derived stores, and a provisioned exception." title="" id="15" name="Picture"/>
            <a:graphic>
              <a:graphicData uri="http://schemas.openxmlformats.org/drawingml/2006/picture">
                <pic:pic>
                  <pic:nvPicPr>
                    <pic:cNvPr descr="../images/diagrams/ssot-network-physics/svg/ch07-saas-data-plane.svg" id="1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4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SaaS data plane: one shared registry, token security on both sides, derived stores, and a provisioned exception.</w:t>
      </w:r>
    </w:p>
    <w:bookmarkEnd w:id="17"/>
    <w:bookmarkStart w:id="18" w:name="X03e0d059d41e2abddb73b7ff0a2a156ee36342b"/>
    <w:p>
      <w:pPr>
        <w:pStyle w:val="Heading2"/>
      </w:pPr>
      <w:r>
        <w:t xml:space="preserve">The source of truth: one registry, one writer</w:t>
      </w:r>
    </w:p>
    <w:p>
      <w:pPr>
        <w:pStyle w:val="FirstParagraph"/>
      </w:pPr>
      <w:r>
        <w:t xml:space="preserve">The tenant registry is the system of record for</w:t>
      </w:r>
      <w:r>
        <w:t xml:space="preserve"> </w:t>
      </w:r>
      <w:r>
        <w:rPr>
          <w:i/>
          <w:iCs/>
        </w:rPr>
        <w:t xml:space="preserve">who is onboarded and in what</w:t>
      </w:r>
      <w:r>
        <w:rPr>
          <w:i/>
          <w:iCs/>
        </w:rPr>
        <w:t xml:space="preserve"> </w:t>
      </w:r>
      <w:r>
        <w:rPr>
          <w:i/>
          <w:iCs/>
        </w:rPr>
        <w:t xml:space="preserve">state.</w:t>
      </w:r>
      <w:r>
        <w:t xml:space="preserve"> </w:t>
      </w:r>
      <w:r>
        <w:t xml:space="preserve">A tenant is identified by its Entra directory GUID and carries an</w:t>
      </w:r>
      <w:r>
        <w:t xml:space="preserve"> </w:t>
      </w:r>
      <w:r>
        <w:t xml:space="preserve">explicit lifecycle state machine —</w:t>
      </w:r>
      <w:r>
        <w:t xml:space="preserve"> </w:t>
      </w:r>
      <w:r>
        <w:rPr>
          <w:rStyle w:val="VerbatimChar"/>
        </w:rPr>
        <w:t xml:space="preserve">PENDING → ACTIVE → SUSPENDED → ACTIVE / → DEPROVISIONED</w:t>
      </w:r>
      <w:r>
        <w:t xml:space="preserve"> </w:t>
      </w:r>
      <w:r>
        <w:t xml:space="preserve">— with illegal</w:t>
      </w:r>
      <w:r>
        <w:t xml:space="preserve"> </w:t>
      </w:r>
      <w:r>
        <w:t xml:space="preserve">transitions rejected at the model boundary (</w:t>
      </w:r>
      <w:r>
        <w:rPr>
          <w:rStyle w:val="VerbatimChar"/>
        </w:rPr>
        <w:t xml:space="preserve">fmp.saas.tenant</w:t>
      </w:r>
      <w:r>
        <w:t xml:space="preserve">). There is</w:t>
      </w:r>
      <w:r>
        <w:t xml:space="preserve"> </w:t>
      </w:r>
      <w:r>
        <w:t xml:space="preserve">exactly one authoritative copy of this truth. Every other representation —</w:t>
      </w:r>
      <w:r>
        <w:t xml:space="preserve"> </w:t>
      </w:r>
      <w:r>
        <w:t xml:space="preserve">evidence in Blob, secrets in Key Vault — is keyed by the</w:t>
      </w:r>
      <w:r>
        <w:t xml:space="preserve"> </w:t>
      </w:r>
      <w:r>
        <w:rPr>
          <w:rStyle w:val="VerbatimChar"/>
        </w:rPr>
        <w:t xml:space="preserve">data_namespace</w:t>
      </w:r>
      <w:r>
        <w:t xml:space="preserve"> </w:t>
      </w:r>
      <w:r>
        <w:t xml:space="preserve">derived deterministically from the tenant GUID (</w:t>
      </w:r>
      <w:r>
        <w:rPr>
          <w:rStyle w:val="VerbatimChar"/>
        </w:rPr>
        <w:t xml:space="preserve">t-&lt;guid&gt;</w:t>
      </w:r>
      <w:r>
        <w:t xml:space="preserve">), so the derived</w:t>
      </w:r>
      <w:r>
        <w:t xml:space="preserve"> </w:t>
      </w:r>
      <w:r>
        <w:t xml:space="preserve">stores are subordinate pointers to the registry’s truth, never independent</w:t>
      </w:r>
      <w:r>
        <w:t xml:space="preserve"> </w:t>
      </w:r>
      <w:r>
        <w:t xml:space="preserve">sources of it. This is Chapter 1’s SSOT discipline as running code.</w:t>
      </w:r>
    </w:p>
    <w:p>
      <w:pPr>
        <w:pStyle w:val="BodyText"/>
      </w:pPr>
      <w:r>
        <w:t xml:space="preserve">Because the writer is single-region, the strong-consistency path never crosses</w:t>
      </w:r>
      <w:r>
        <w:t xml:space="preserve"> </w:t>
      </w:r>
      <w:r>
        <w:t xml:space="preserve">a continent. Per Chapter 3, that is not a limitation to be engineered away — it</w:t>
      </w:r>
      <w:r>
        <w:t xml:space="preserve"> </w:t>
      </w:r>
      <w:r>
        <w:t xml:space="preserve">is the deliberate exploitation of the physics: at single-region distances,</w:t>
      </w:r>
      <w:r>
        <w:t xml:space="preserve"> </w:t>
      </w:r>
      <w:r>
        <w:t xml:space="preserve">strong consistency is nearly free, so the Federal Modernization Program takes it.</w:t>
      </w:r>
    </w:p>
    <w:bookmarkEnd w:id="18"/>
    <w:bookmarkStart w:id="19" w:name="X5bd00d7ca08c72d0b2bd07b7b4527911db42f87"/>
    <w:p>
      <w:pPr>
        <w:pStyle w:val="Heading2"/>
      </w:pPr>
      <w:r>
        <w:t xml:space="preserve">Token security: the secret that does not exist</w:t>
      </w:r>
    </w:p>
    <w:p>
      <w:pPr>
        <w:pStyle w:val="FirstParagraph"/>
      </w:pPr>
      <w:r>
        <w:t xml:space="preserve">Chapter 2’s keystone is visible on both sides of every connection: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Inbound</w:t>
      </w:r>
      <w:r>
        <w:t xml:space="preserve">, the trust boundary travels in the request. The data plane does</w:t>
      </w:r>
      <w:r>
        <w:t xml:space="preserve"> </w:t>
      </w:r>
      <w:r>
        <w:t xml:space="preserve">not assume a caller is trustworthy because of where it connects from; it</w:t>
      </w:r>
      <w:r>
        <w:t xml:space="preserve"> </w:t>
      </w:r>
      <w:r>
        <w:t xml:space="preserve">verifies the Entra token’s signature against the issuing tenant’s published</w:t>
      </w:r>
      <w:r>
        <w:t xml:space="preserve"> </w:t>
      </w:r>
      <w:r>
        <w:t xml:space="preserve">keys and binds the tenant context from the</w:t>
      </w:r>
      <w:r>
        <w:t xml:space="preserve"> </w:t>
      </w:r>
      <w:r>
        <w:rPr>
          <w:rStyle w:val="VerbatimChar"/>
        </w:rPr>
        <w:t xml:space="preserve">tid</w:t>
      </w:r>
      <w:r>
        <w:t xml:space="preserve"> </w:t>
      </w:r>
      <w:r>
        <w:t xml:space="preserve">claim, per request. One</w:t>
      </w:r>
      <w:r>
        <w:t xml:space="preserve"> </w:t>
      </w:r>
      <w:r>
        <w:t xml:space="preserve">shared plane safely serves all tenants because identity is proven every time.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Outbound</w:t>
      </w:r>
      <w:r>
        <w:t xml:space="preserve">, under the program decision, the application authenticates to PostgreSQL with</w:t>
      </w:r>
      <w:r>
        <w:t xml:space="preserve"> </w:t>
      </w:r>
      <w:r>
        <w:t xml:space="preserve">a freshly-minted Entra access token used as the connection password — its</w:t>
      </w:r>
      <w:r>
        <w:t xml:space="preserve"> </w:t>
      </w:r>
      <w:r>
        <w:t xml:space="preserve">managed identity is the database’s Entra administrator. The token provider</w:t>
      </w:r>
      <w:r>
        <w:t xml:space="preserve"> </w:t>
      </w:r>
      <w:r>
        <w:t xml:space="preserve">caches and refreshes the token off the connection hot path and never presents</w:t>
      </w:r>
      <w:r>
        <w:t xml:space="preserve"> </w:t>
      </w:r>
      <w:r>
        <w:t xml:space="preserve">a near-expired one. There is</w:t>
      </w:r>
      <w:r>
        <w:t xml:space="preserve"> </w:t>
      </w:r>
      <w:r>
        <w:rPr>
          <w:b/>
          <w:bCs/>
        </w:rPr>
        <w:t xml:space="preserve">no long-lived database password anywhere in</w:t>
      </w:r>
      <w:r>
        <w:rPr>
          <w:b/>
          <w:bCs/>
        </w:rPr>
        <w:t xml:space="preserve"> </w:t>
      </w:r>
      <w:r>
        <w:rPr>
          <w:b/>
          <w:bCs/>
        </w:rPr>
        <w:t xml:space="preserve">the deployment</w:t>
      </w:r>
      <w:r>
        <w:t xml:space="preserve"> </w:t>
      </w:r>
      <w:r>
        <w:t xml:space="preserve">— the single highest-value secret is removed, not guarded.</w:t>
      </w:r>
      <w:r>
        <w:t xml:space="preserve"> </w:t>
      </w:r>
      <w:r>
        <w:t xml:space="preserve">The same connection seam serves an AWS RDS-IAM token provider, so passwordless</w:t>
      </w:r>
      <w:r>
        <w:t xml:space="preserve"> </w:t>
      </w:r>
      <w:r>
        <w:t xml:space="preserve">auth is cloud-portable.</w:t>
      </w:r>
    </w:p>
    <w:p>
      <w:pPr>
        <w:pStyle w:val="FirstParagraph"/>
      </w:pPr>
      <w:r>
        <w:t xml:space="preserve">This is precisely why the shared store is safe to centralize: the security</w:t>
      </w:r>
      <w:r>
        <w:t xml:space="preserve"> </w:t>
      </w:r>
      <w:r>
        <w:t xml:space="preserve">model lives in identity, not in a perimeter or a stored credential.</w:t>
      </w:r>
    </w:p>
    <w:bookmarkEnd w:id="19"/>
    <w:bookmarkStart w:id="20" w:name="X51fbb4689b3d00bbbc408c4f68a02a07563a8c4"/>
    <w:p>
      <w:pPr>
        <w:pStyle w:val="Heading2"/>
      </w:pPr>
      <w:r>
        <w:t xml:space="preserve">The escape hatch: distribute only where compliance demands it</w:t>
      </w:r>
    </w:p>
    <w:p>
      <w:pPr>
        <w:pStyle w:val="FirstParagraph"/>
      </w:pPr>
      <w:r>
        <w:t xml:space="preserve">The Federal Modernization Program does not pretend physical centralization is universally acceptable. the program decision</w:t>
      </w:r>
      <w:r>
        <w:t xml:space="preserve"> </w:t>
      </w:r>
      <w:r>
        <w:t xml:space="preserve">keeps the option to fragment as a</w:t>
      </w:r>
      <w:r>
        <w:t xml:space="preserve"> </w:t>
      </w:r>
      <w:r>
        <w:rPr>
          <w:i/>
          <w:iCs/>
        </w:rPr>
        <w:t xml:space="preserve">deliberate, provisioned exception</w:t>
      </w:r>
      <w:r>
        <w:t xml:space="preserve"> </w:t>
      </w:r>
      <w:r>
        <w:t xml:space="preserve">rather</w:t>
      </w:r>
      <w:r>
        <w:t xml:space="preserve"> </w:t>
      </w:r>
      <w:r>
        <w:t xml:space="preserve">than the default:</w:t>
      </w:r>
    </w:p>
    <w:p>
      <w:pPr>
        <w:pStyle w:val="Compact"/>
        <w:numPr>
          <w:ilvl w:val="0"/>
          <w:numId w:val="1002"/>
        </w:numPr>
      </w:pPr>
      <w:r>
        <w:t xml:space="preserve">The control plane’s</w:t>
      </w:r>
      <w:r>
        <w:t xml:space="preserve"> </w:t>
      </w:r>
      <w:r>
        <w:rPr>
          <w:rStyle w:val="VerbatimChar"/>
        </w:rPr>
        <w:t xml:space="preserve">ProvisioningService</w:t>
      </w:r>
      <w:r>
        <w:t xml:space="preserve"> </w:t>
      </w:r>
      <w:r>
        <w:t xml:space="preserve">can</w:t>
      </w:r>
      <w:r>
        <w:t xml:space="preserve"> </w:t>
      </w:r>
      <w:r>
        <w:rPr>
          <w:b/>
          <w:bCs/>
        </w:rPr>
        <w:t xml:space="preserve">stamp</w:t>
      </w:r>
      <w:r>
        <w:t xml:space="preserve"> </w:t>
      </w:r>
      <w:r>
        <w:t xml:space="preserve">dedicated resources</w:t>
      </w:r>
      <w:r>
        <w:t xml:space="preserve"> </w:t>
      </w:r>
      <w:r>
        <w:t xml:space="preserve">— a dedicated DB schema, Blob prefix, and Key Vault scope — for a customer</w:t>
      </w:r>
      <w:r>
        <w:t xml:space="preserve"> </w:t>
      </w:r>
      <w:r>
        <w:t xml:space="preserve">whose compliance posture cannot accept shared-plane, in-code isolation.</w:t>
      </w:r>
    </w:p>
    <w:p>
      <w:pPr>
        <w:pStyle w:val="Compact"/>
        <w:numPr>
          <w:ilvl w:val="0"/>
          <w:numId w:val="1002"/>
        </w:numPr>
      </w:pPr>
      <w:r>
        <w:t xml:space="preserve">Provisioning is</w:t>
      </w:r>
      <w:r>
        <w:t xml:space="preserve"> </w:t>
      </w:r>
      <w:r>
        <w:rPr>
          <w:b/>
          <w:bCs/>
        </w:rPr>
        <w:t xml:space="preserve">dry-run by default</w:t>
      </w:r>
      <w:r>
        <w:t xml:space="preserve"> </w:t>
      </w:r>
      <w:r>
        <w:t xml:space="preserve">(a no-op stamp executor only</w:t>
      </w:r>
      <w:r>
        <w:t xml:space="preserve"> </w:t>
      </w:r>
      <w:r>
        <w:rPr>
          <w:i/>
          <w:iCs/>
        </w:rPr>
        <w:t xml:space="preserve">plans</w:t>
      </w:r>
      <w:r>
        <w:t xml:space="preserve">),</w:t>
      </w:r>
      <w:r>
        <w:t xml:space="preserve"> </w:t>
      </w:r>
      <w:r>
        <w:t xml:space="preserve">so the control plane is safe to exercise in CI and locally; a concrete</w:t>
      </w:r>
      <w:r>
        <w:t xml:space="preserve"> </w:t>
      </w:r>
      <w:r>
        <w:t xml:space="preserve">executor is injected only in production.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GOV</w:t>
      </w:r>
      <w:r>
        <w:t xml:space="preserve"> </w:t>
      </w:r>
      <w:r>
        <w:t xml:space="preserve">tenant plan and the sovereign-cloud token audiences exist for</w:t>
      </w:r>
      <w:r>
        <w:t xml:space="preserve"> </w:t>
      </w:r>
      <w:r>
        <w:t xml:space="preserve">customers under stricter boundaries, with sovereign SaaS itself listed as a</w:t>
      </w:r>
      <w:r>
        <w:t xml:space="preserve"> </w:t>
      </w:r>
      <w:r>
        <w:t xml:space="preserve">future decision and explicit review trigger.</w:t>
      </w:r>
    </w:p>
    <w:p>
      <w:pPr>
        <w:pStyle w:val="FirstParagraph"/>
      </w:pPr>
      <w:r>
        <w:t xml:space="preserve">This is Chapter 1’s</w:t>
      </w:r>
      <w:r>
        <w:t xml:space="preserve"> </w:t>
      </w:r>
      <w:r>
        <w:t xml:space="preserve">“small databases survive as compliance-stamped exceptions”</w:t>
      </w:r>
      <w:r>
        <w:t xml:space="preserve"> </w:t>
      </w:r>
      <w:r>
        <w:t xml:space="preserve">realized exactly: the default is one shared source of truth; the dedicated</w:t>
      </w:r>
      <w:r>
        <w:t xml:space="preserve"> </w:t>
      </w:r>
      <w:r>
        <w:t xml:space="preserve">small store is the exception, requested by compliance, not the architecture’s</w:t>
      </w:r>
      <w:r>
        <w:t xml:space="preserve"> </w:t>
      </w:r>
      <w:r>
        <w:t xml:space="preserve">resting state.</w:t>
      </w:r>
    </w:p>
    <w:bookmarkEnd w:id="20"/>
    <w:bookmarkStart w:id="21" w:name="centralize-until-you-measurably-cannot"/>
    <w:p>
      <w:pPr>
        <w:pStyle w:val="Heading2"/>
      </w:pPr>
      <w:r>
        <w:t xml:space="preserve">Centralize until you measurably cannot</w:t>
      </w:r>
    </w:p>
    <w:p>
      <w:pPr>
        <w:pStyle w:val="FirstParagraph"/>
      </w:pPr>
      <w:r>
        <w:t xml:space="preserve">the program decision even encodes the discipline of Chapter 1 — scale up before you scale out</w:t>
      </w:r>
      <w:r>
        <w:t xml:space="preserve"> </w:t>
      </w:r>
      <w:r>
        <w:t xml:space="preserve">— into its own expiry conditions. Among the decision’s stated review triggers is</w:t>
      </w:r>
      <w:r>
        <w:t xml:space="preserve"> </w:t>
      </w:r>
      <w:r>
        <w:rPr>
          <w:i/>
          <w:iCs/>
        </w:rPr>
        <w:t xml:space="preserve">“the tenant registry outgrows a single PostgreSQL Flexible Server.”</w:t>
      </w:r>
      <w:r>
        <w:t xml:space="preserve"> </w:t>
      </w:r>
      <w:r>
        <w:t xml:space="preserve">The</w:t>
      </w:r>
      <w:r>
        <w:t xml:space="preserve"> </w:t>
      </w:r>
      <w:r>
        <w:t xml:space="preserve">architecture is centralized-until-evidence: it stays on one node until a</w:t>
      </w:r>
      <w:r>
        <w:t xml:space="preserve"> </w:t>
      </w:r>
      <w:r>
        <w:t xml:space="preserve">measured limit forces a change, rather than pre-emptively sharding against a</w:t>
      </w:r>
      <w:r>
        <w:t xml:space="preserve"> </w:t>
      </w:r>
      <w:r>
        <w:t xml:space="preserve">hypothetical. That is the correct posture this paper has argued for throughout.</w:t>
      </w:r>
    </w:p>
    <w:bookmarkEnd w:id="21"/>
    <w:bookmarkStart w:id="22" w:name="X85d82e7bde9f8f03dc63cbaa1a90829867316bf"/>
    <w:p>
      <w:pPr>
        <w:pStyle w:val="Heading2"/>
      </w:pPr>
      <w:r>
        <w:t xml:space="preserve">Where SD-WAN would enter — and where it would not</w:t>
      </w:r>
    </w:p>
    <w:p>
      <w:pPr>
        <w:pStyle w:val="FirstParagraph"/>
      </w:pPr>
      <w:r>
        <w:t xml:space="preserve">Applying Chapters 3–4 to the Federal Modernization Program sharpens what networking does and does not buy</w:t>
      </w:r>
      <w:r>
        <w:t xml:space="preserve"> </w:t>
      </w:r>
      <w:r>
        <w:t xml:space="preserve">here. Because the data plane is single-region with one writer,</w:t>
      </w:r>
      <w:r>
        <w:t xml:space="preserve"> </w:t>
      </w:r>
      <w:r>
        <w:rPr>
          <w:b/>
          <w:bCs/>
        </w:rPr>
        <w:t xml:space="preserve">there is no</w:t>
      </w:r>
      <w:r>
        <w:rPr>
          <w:b/>
          <w:bCs/>
        </w:rPr>
        <w:t xml:space="preserve"> </w:t>
      </w:r>
      <w:r>
        <w:rPr>
          <w:b/>
          <w:bCs/>
        </w:rPr>
        <w:t xml:space="preserve">global synchronous commit path for SD-WAN to optimize</w:t>
      </w:r>
      <w:r>
        <w:t xml:space="preserve"> </w:t>
      </w:r>
      <w:r>
        <w:t xml:space="preserve">— the Federal Modernization Program has already</w:t>
      </w:r>
      <w:r>
        <w:t xml:space="preserve"> </w:t>
      </w:r>
      <w:r>
        <w:t xml:space="preserve">removed the workload that would need it. Differentiated transport would matter</w:t>
      </w:r>
      <w:r>
        <w:t xml:space="preserve"> </w:t>
      </w:r>
      <w:r>
        <w:t xml:space="preserve">in exactly two latency-tolerant, bulk-class places: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Cross-region disaster-recovery replication</w:t>
      </w:r>
      <w:r>
        <w:t xml:space="preserve"> </w:t>
      </w:r>
      <w:r>
        <w:t xml:space="preserve">of the Postgres registry —</w:t>
      </w:r>
      <w:r>
        <w:t xml:space="preserve"> </w:t>
      </w:r>
      <w:r>
        <w:t xml:space="preserve">asynchronous by design, riding the fat bulk path; SD-WAN would improve its</w:t>
      </w:r>
      <w:r>
        <w:t xml:space="preserve"> </w:t>
      </w:r>
      <w:r>
        <w:t xml:space="preserve">lag and resilience, not its correctness.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Read-replica and evidence-bundle freshness</w:t>
      </w:r>
      <w:r>
        <w:t xml:space="preserve"> </w:t>
      </w:r>
      <w:r>
        <w:t xml:space="preserve">for tenants far from the home</w:t>
      </w:r>
      <w:r>
        <w:t xml:space="preserve"> </w:t>
      </w:r>
      <w:r>
        <w:t xml:space="preserve">region — bounded-staleness reads on the bulk path.</w:t>
      </w:r>
    </w:p>
    <w:p>
      <w:pPr>
        <w:pStyle w:val="FirstParagraph"/>
      </w:pPr>
      <w:r>
        <w:t xml:space="preserve">The day a sovereign-cloud stamp (a listed review trigger) requires a second</w:t>
      </w:r>
      <w:r>
        <w:t xml:space="preserve"> </w:t>
      </w:r>
      <w:r>
        <w:t xml:space="preserve">region that must stay in sync, the full Chapter 4 toolkit — path classes, FEC</w:t>
      </w:r>
      <w:r>
        <w:t xml:space="preserve"> </w:t>
      </w:r>
      <w:r>
        <w:t xml:space="preserve">for the commit tail, clock distribution for TrueTime-style coordination —</w:t>
      </w:r>
      <w:r>
        <w:t xml:space="preserve"> </w:t>
      </w:r>
      <w:r>
        <w:t xml:space="preserve">becomes load-bearing. Until then, the Federal Modernization Program’s answer to the speed-of-light tax is the</w:t>
      </w:r>
      <w:r>
        <w:t xml:space="preserve"> </w:t>
      </w:r>
      <w:r>
        <w:t xml:space="preserve">cheapest one available:</w:t>
      </w:r>
      <w:r>
        <w:t xml:space="preserve"> </w:t>
      </w:r>
      <w:r>
        <w:rPr>
          <w:b/>
          <w:bCs/>
        </w:rPr>
        <w:t xml:space="preserve">do not span it synchronously in the first place.</w:t>
      </w:r>
    </w:p>
    <w:p>
      <w:pPr>
        <w:pStyle w:val="BodyText"/>
      </w:pPr>
      <w:r>
        <w:t xml:space="preserve">The proposed next frontier is orthogonal to the data topology: governing the</w:t>
      </w:r>
      <w:r>
        <w:t xml:space="preserve"> </w:t>
      </w:r>
      <w:r>
        <w:rPr>
          <w:i/>
          <w:iCs/>
        </w:rPr>
        <w:t xml:space="preserve">path</w:t>
      </w:r>
      <w:r>
        <w:t xml:space="preserve"> </w:t>
      </w:r>
      <w:r>
        <w:t xml:space="preserve">itself. the program decision (Proposed) would promote the transport plane to a</w:t>
      </w:r>
      <w:r>
        <w:t xml:space="preserve"> </w:t>
      </w:r>
      <w:r>
        <w:t xml:space="preserve">first-class governed concern — token-bound</w:t>
      </w:r>
      <w:r>
        <w:t xml:space="preserve"> </w:t>
      </w:r>
      <w:r>
        <w:rPr>
          <w:rStyle w:val="VerbatimChar"/>
        </w:rPr>
        <w:t xml:space="preserve">OverlayTunnel</w:t>
      </w:r>
      <w:r>
        <w:t xml:space="preserve">s and a</w:t>
      </w:r>
      <w:r>
        <w:t xml:space="preserve"> </w:t>
      </w:r>
      <w:r>
        <w:rPr>
          <w:rStyle w:val="VerbatimChar"/>
        </w:rPr>
        <w:t xml:space="preserve">DRIFT-TRANSPORT</w:t>
      </w:r>
      <w:r>
        <w:t xml:space="preserve"> </w:t>
      </w:r>
      <w:r>
        <w:t xml:space="preserve">class — holding the network that carries the Federal Modernization Program’s claims to the</w:t>
      </w:r>
      <w:r>
        <w:t xml:space="preserve"> </w:t>
      </w:r>
      <w:r>
        <w:t xml:space="preserve">same per-call, identity-anchored standard as the data plane (Chapter 5).</w:t>
      </w:r>
    </w:p>
    <w:bookmarkEnd w:id="22"/>
    <w:bookmarkStart w:id="26" w:name="the-one-risk-named-plainly"/>
    <w:p>
      <w:pPr>
        <w:pStyle w:val="Heading2"/>
      </w:pPr>
      <w:r>
        <w:t xml:space="preserve">The one risk, named plainly</w:t>
      </w:r>
    </w:p>
    <w:p>
      <w:pPr>
        <w:pStyle w:val="FirstParagraph"/>
      </w:pPr>
      <w:r>
        <w:t xml:space="preserve">The whole bet has a cost, and the decision record states it without flinching.</w:t>
      </w:r>
      <w:r>
        <w:t xml:space="preserve"> </w:t>
      </w:r>
      <w:r>
        <w:t xml:space="preserve">Because tenant isolation on the shared plane is</w:t>
      </w:r>
      <w:r>
        <w:t xml:space="preserve"> </w:t>
      </w:r>
      <w:r>
        <w:rPr>
          <w:i/>
          <w:iCs/>
        </w:rPr>
        <w:t xml:space="preserve">enforced in code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TenantResolutionMiddleware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data_namespace</w:t>
      </w:r>
      <w:r>
        <w:t xml:space="preserve"> </w:t>
      </w:r>
      <w:r>
        <w:t xml:space="preserve">scoping — rather than by</w:t>
      </w:r>
      <w:r>
        <w:t xml:space="preserve"> </w:t>
      </w:r>
      <w:r>
        <w:t xml:space="preserve">physical separation,</w:t>
      </w:r>
      <w:r>
        <w:t xml:space="preserve"> </w:t>
      </w:r>
      <w:r>
        <w:rPr>
          <w:b/>
          <w:bCs/>
        </w:rPr>
        <w:t xml:space="preserve">the blast radius lives in that code path.</w:t>
      </w:r>
      <w:r>
        <w:t xml:space="preserve"> </w:t>
      </w:r>
      <w:r>
        <w:t xml:space="preserve">A defect in</w:t>
      </w:r>
      <w:r>
        <w:t xml:space="preserve"> </w:t>
      </w:r>
      <w:r>
        <w:t xml:space="preserve">tenant resolution or namespace scoping is not a contained single-tenant fault;</w:t>
      </w:r>
      <w:r>
        <w:t xml:space="preserve"> </w:t>
      </w:r>
      <w:r>
        <w:t xml:space="preserve">it is a potential cross-tenant data exposure. the program decision lists this explicitly as a</w:t>
      </w:r>
      <w:r>
        <w:t xml:space="preserve"> </w:t>
      </w:r>
      <w:r>
        <w:t xml:space="preserve">negative trade-off.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Where the engineering rigor must concentrate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database topology is not where this architecture can quietly fail — the</w:t>
            </w:r>
            <w:r>
              <w:t xml:space="preserve"> </w:t>
            </w:r>
            <w:r>
              <w:rPr>
                <w:b/>
                <w:bCs/>
              </w:rPr>
              <w:t xml:space="preserve">tenant-resolution and namespace-scoping path</w:t>
            </w:r>
            <w:r>
              <w:t xml:space="preserve"> </w:t>
            </w:r>
            <w:r>
              <w:t xml:space="preserve">is. That path must be small,</w:t>
            </w:r>
            <w:r>
              <w:t xml:space="preserve"> </w:t>
            </w:r>
            <w:r>
              <w:t xml:space="preserve">exhaustively tested, and fail-closed (the auth layer already rejects unsigned,</w:t>
            </w:r>
            <w:r>
              <w:t xml:space="preserve"> </w:t>
            </w:r>
            <w:r>
              <w:t xml:space="preserve">non-onboarded, and non-active tenants by default). The single highest-value</w:t>
            </w:r>
            <w:r>
              <w:t xml:space="preserve"> </w:t>
            </w:r>
            <w:r>
              <w:t xml:space="preserve">verification for this whole design is to confirm there is no code path by which</w:t>
            </w:r>
            <w:r>
              <w:t xml:space="preserve"> </w:t>
            </w:r>
            <w:r>
              <w:t xml:space="preserve">a validated</w:t>
            </w:r>
            <w:r>
              <w:t xml:space="preserve"> </w:t>
            </w:r>
            <w:r>
              <w:rPr>
                <w:rStyle w:val="VerbatimChar"/>
              </w:rPr>
              <w:t xml:space="preserve">tid</w:t>
            </w:r>
            <w:r>
              <w:t xml:space="preserve"> </w:t>
            </w:r>
            <w:r>
              <w:t xml:space="preserve">for tenant A can address tenant B’s</w:t>
            </w:r>
            <w:r>
              <w:t xml:space="preserve"> </w:t>
            </w:r>
            <w:r>
              <w:rPr>
                <w:rStyle w:val="VerbatimChar"/>
              </w:rPr>
              <w:t xml:space="preserve">data_namespace</w:t>
            </w:r>
            <w:r>
              <w:t xml:space="preserve">. That is</w:t>
            </w:r>
            <w:r>
              <w:t xml:space="preserve"> </w:t>
            </w:r>
            <w:r>
              <w:t xml:space="preserve">the concentrated correctness obligation you accept in exchange for one shared</w:t>
            </w:r>
            <w:r>
              <w:t xml:space="preserve"> </w:t>
            </w:r>
            <w:r>
              <w:t xml:space="preserve">source of truth.</w:t>
            </w:r>
          </w:p>
          <w:p/>
        </w:tc>
      </w:tr>
    </w:tbl>
    <w:bookmarkEnd w:id="26"/>
    <w:bookmarkStart w:id="27" w:name="summary"/>
    <w:p>
      <w:pPr>
        <w:pStyle w:val="Heading2"/>
      </w:pPr>
      <w:r>
        <w:t xml:space="preserve">Summary</w:t>
      </w:r>
    </w:p>
    <w:p>
      <w:pPr>
        <w:pStyle w:val="Compact"/>
        <w:numPr>
          <w:ilvl w:val="0"/>
          <w:numId w:val="1004"/>
        </w:numPr>
      </w:pPr>
      <w:r>
        <w:t xml:space="preserve">the program decision chose one shared, single-region PostgreSQL source of truth with</w:t>
      </w:r>
      <w:r>
        <w:t xml:space="preserve"> </w:t>
      </w:r>
      <w:r>
        <w:t xml:space="preserve">per-tenant in-code isolation, plus a stamped escape hatch — the paper’s</w:t>
      </w:r>
      <w:r>
        <w:t xml:space="preserve"> </w:t>
      </w:r>
      <w:r>
        <w:t xml:space="preserve">doctrine as an accepted decision.</w:t>
      </w:r>
    </w:p>
    <w:p>
      <w:pPr>
        <w:pStyle w:val="Compact"/>
        <w:numPr>
          <w:ilvl w:val="0"/>
          <w:numId w:val="1004"/>
        </w:numPr>
      </w:pPr>
      <w:r>
        <w:t xml:space="preserve">Token security appears on both sides: inbound per-request</w:t>
      </w:r>
      <w:r>
        <w:t xml:space="preserve"> </w:t>
      </w:r>
      <w:r>
        <w:rPr>
          <w:rStyle w:val="VerbatimChar"/>
        </w:rPr>
        <w:t xml:space="preserve">tid</w:t>
      </w:r>
      <w:r>
        <w:t xml:space="preserve"> </w:t>
      </w:r>
      <w:r>
        <w:t xml:space="preserve">verification,</w:t>
      </w:r>
      <w:r>
        <w:t xml:space="preserve"> </w:t>
      </w:r>
      <w:r>
        <w:t xml:space="preserve">outbound passwordless Postgres auth (the program decision) that removes the highest-value</w:t>
      </w:r>
      <w:r>
        <w:t xml:space="preserve"> </w:t>
      </w:r>
      <w:r>
        <w:t xml:space="preserve">secret entirely.</w:t>
      </w:r>
    </w:p>
    <w:p>
      <w:pPr>
        <w:pStyle w:val="Compact"/>
        <w:numPr>
          <w:ilvl w:val="0"/>
          <w:numId w:val="1004"/>
        </w:numPr>
      </w:pPr>
      <w:r>
        <w:t xml:space="preserve">Derived stores (Blob, Key Vault) are subordinate, namespace-keyed pointers to</w:t>
      </w:r>
      <w:r>
        <w:t xml:space="preserve"> </w:t>
      </w:r>
      <w:r>
        <w:t xml:space="preserve">the registry’s truth — never independent sources.</w:t>
      </w:r>
    </w:p>
    <w:p>
      <w:pPr>
        <w:pStyle w:val="Compact"/>
        <w:numPr>
          <w:ilvl w:val="0"/>
          <w:numId w:val="1004"/>
        </w:numPr>
      </w:pPr>
      <w:r>
        <w:t xml:space="preserve">The single-region writer is a deliberate refusal to span the speed of light</w:t>
      </w:r>
      <w:r>
        <w:t xml:space="preserve"> </w:t>
      </w:r>
      <w:r>
        <w:t xml:space="preserve">synchronously; SD-WAN would help only the async DR and read-replica paths</w:t>
      </w:r>
      <w:r>
        <w:t xml:space="preserve"> </w:t>
      </w:r>
      <w:r>
        <w:t xml:space="preserve">until a second region is required.</w:t>
      </w:r>
    </w:p>
    <w:p>
      <w:pPr>
        <w:pStyle w:val="Compact"/>
        <w:numPr>
          <w:ilvl w:val="0"/>
          <w:numId w:val="1004"/>
        </w:numPr>
      </w:pPr>
      <w:r>
        <w:t xml:space="preserve">The architecture concentrates correctness into the tenant-resolution path;</w:t>
      </w:r>
      <w:r>
        <w:t xml:space="preserve"> </w:t>
      </w:r>
      <w:r>
        <w:t xml:space="preserve">that path — not the database topology — is where rigor and verification must</w:t>
      </w:r>
      <w:r>
        <w:t xml:space="preserve"> </w:t>
      </w:r>
      <w:r>
        <w:t xml:space="preserve">go.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svg" /><Relationship Type="http://schemas.openxmlformats.org/officeDocument/2006/relationships/image" Id="rId23" Target="media/rId2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Architecture — the Federal Modernization Program SaaS Data Plane</dc:title>
  <dc:creator/>
  <cp:keywords/>
  <dcterms:created xsi:type="dcterms:W3CDTF">2026-10-19T10:11:41Z</dcterms:created>
  <dcterms:modified xsi:type="dcterms:W3CDTF">2026-10-19T10:11:41Z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audience">
    <vt:lpwstr>Architects · platform engineers · governance teams</vt:lpwstr>
  </property>
  <property fmtid="{D5CDD505-2E9C-101B-9397-08002B2CF9AE}" pid="4" name="biblio-config">
    <vt:lpwstr>True</vt:lpwstr>
  </property>
  <property fmtid="{D5CDD505-2E9C-101B-9397-08002B2CF9AE}" pid="5" name="canon-source">
    <vt:lpwstr>the program decision (Azure SaaS architecture), the program decision (passwordless Entra Postgres auth), the program decision (GCC-Moderate boundary)</vt:lpwstr>
  </property>
  <property fmtid="{D5CDD505-2E9C-101B-9397-08002B2CF9AE}" pid="6" name="chapter">
    <vt:lpwstr>7</vt:lpwstr>
  </property>
  <property fmtid="{D5CDD505-2E9C-101B-9397-08002B2CF9AE}" pid="7" name="date">
    <vt:lpwstr>2026-06-22</vt:lpwstr>
  </property>
  <property fmtid="{D5CDD505-2E9C-101B-9397-08002B2CF9AE}" pid="8" name="doc-type">
    <vt:lpwstr>series-chapter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draft</vt:lpwstr>
  </property>
  <property fmtid="{D5CDD505-2E9C-101B-9397-08002B2CF9AE}" pid="14" name="lifecycle_review">
    <vt:lpwstr>2026-12-22</vt:lpwstr>
  </property>
  <property fmtid="{D5CDD505-2E9C-101B-9397-08002B2CF9AE}" pid="15" name="series-id">
    <vt:lpwstr>ssot-network-physics</vt:lpwstr>
  </property>
  <property fmtid="{D5CDD505-2E9C-101B-9397-08002B2CF9AE}" pid="16" name="subtitle">
    <vt:lpwstr>How the program decision and the program decision implement centralize-the-truth / distribute-the-copies in practice</vt:lpwstr>
  </property>
  <property fmtid="{D5CDD505-2E9C-101B-9397-08002B2CF9AE}" pid="17" name="tiers_adopted">
    <vt:lpwstr/>
  </property>
  <property fmtid="{D5CDD505-2E9C-101B-9397-08002B2CF9AE}" pid="18" name="toc-title">
    <vt:lpwstr>Table of contents</vt:lpwstr>
  </property>
</Properties>
</file>