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svg" ContentType="image/svg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Physics of a Single Source of Truth</w:t>
      </w:r>
    </w:p>
    <w:p>
      <w:pPr>
        <w:pStyle w:val="Subtitle"/>
      </w:pPr>
      <w:r>
        <w:t xml:space="preserve">Eight-chapter white paper on logical centralization, token-based security, the speed-of-light tax, SD-WAN differentiated transport, and token-bound transport governance — and how the Federal Modernization Program resolves them.</w:t>
      </w:r>
    </w:p>
    <w:p>
      <w:pPr>
        <w:pStyle w:val="Date"/>
      </w:pPr>
      <w:r>
        <w:t xml:space="preserve">2026-06-22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8" w:name="the-physics-of-a-single-source-of-truth"/>
    <w:p>
      <w:pPr>
        <w:pStyle w:val="Heading1"/>
      </w:pPr>
      <w:r>
        <w:t xml:space="preserve">The Physics of a Single Source of Truth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white paper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ssot-network-physics-bundle.docx</w:t>
              </w:r>
            </w:hyperlink>
            <w:r>
              <w:t xml:space="preserve"> </w:t>
            </w:r>
            <w:r>
              <w:t xml:space="preserve">— every chapter in this white paper concatenated into one Word document. Regenerated on every site deploy.</w:t>
            </w:r>
          </w:p>
          <w:p/>
        </w:tc>
      </w:tr>
    </w:tbl>
    <w:bookmarkStart w:id="13" w:name="thesis-in-one-paragraph"/>
    <w:p>
      <w:pPr>
        <w:pStyle w:val="Heading2"/>
      </w:pPr>
      <w:r>
        <w:t xml:space="preserve">Thesis in one paragraph</w:t>
      </w:r>
    </w:p>
    <w:p>
      <w:pPr>
        <w:pStyle w:val="FirstParagraph"/>
      </w:pPr>
      <w:r>
        <w:t xml:space="preserve">The fashionable architecture of the last decade — fragment data into many</w:t>
      </w:r>
      <w:r>
        <w:t xml:space="preserve"> </w:t>
      </w:r>
      <w:r>
        <w:t xml:space="preserve">small, service-owned databases — overcorrected, and the fragmentation it</w:t>
      </w:r>
      <w:r>
        <w:t xml:space="preserve"> </w:t>
      </w:r>
      <w:r>
        <w:t xml:space="preserve">created became the largest single source of governance drift. Three forces now</w:t>
      </w:r>
      <w:r>
        <w:t xml:space="preserve"> </w:t>
      </w:r>
      <w:r>
        <w:t xml:space="preserve">push the pendulum back toward</w:t>
      </w:r>
      <w:r>
        <w:t xml:space="preserve"> </w:t>
      </w:r>
      <w:r>
        <w:rPr>
          <w:b/>
          <w:bCs/>
        </w:rPr>
        <w:t xml:space="preserve">logical centralization</w:t>
      </w:r>
      <w:r>
        <w:t xml:space="preserve">: wide-area networks</w:t>
      </w:r>
      <w:r>
        <w:t xml:space="preserve"> </w:t>
      </w:r>
      <w:r>
        <w:t xml:space="preserve">that are fat and application-aware,</w:t>
      </w:r>
      <w:r>
        <w:t xml:space="preserve"> </w:t>
      </w:r>
      <w:r>
        <w:rPr>
          <w:b/>
          <w:bCs/>
        </w:rPr>
        <w:t xml:space="preserve">token-based (zero-trust) security</w:t>
      </w:r>
      <w:r>
        <w:t xml:space="preserve"> </w:t>
      </w:r>
      <w:r>
        <w:t xml:space="preserve">that</w:t>
      </w:r>
      <w:r>
        <w:t xml:space="preserve"> </w:t>
      </w:r>
      <w:r>
        <w:t xml:space="preserve">lets one logical store safely serve many trust domains, and the discipline of a</w:t>
      </w:r>
      <w:r>
        <w:t xml:space="preserve"> </w:t>
      </w:r>
      <w:r>
        <w:rPr>
          <w:b/>
          <w:bCs/>
        </w:rPr>
        <w:t xml:space="preserve">single source of truth (SSOT)</w:t>
      </w:r>
      <w:r>
        <w:t xml:space="preserve"> </w:t>
      </w:r>
      <w:r>
        <w:t xml:space="preserve">as the cheapest thing to reason about. This</w:t>
      </w:r>
      <w:r>
        <w:t xml:space="preserve"> </w:t>
      </w:r>
      <w:r>
        <w:t xml:space="preserve">white paper argues that the era of small SQL servers</w:t>
      </w:r>
      <w:r>
        <w:t xml:space="preserve"> </w:t>
      </w:r>
      <w:r>
        <w:rPr>
          <w:i/>
          <w:iCs/>
        </w:rPr>
        <w:t xml:space="preserve">as sources of truth</w:t>
      </w:r>
      <w:r>
        <w:t xml:space="preserve"> </w:t>
      </w:r>
      <w:r>
        <w:t xml:space="preserve">is</w:t>
      </w:r>
      <w:r>
        <w:t xml:space="preserve"> </w:t>
      </w:r>
      <w:r>
        <w:t xml:space="preserve">over — but that small databases survive, repurposed as disposable caches,</w:t>
      </w:r>
      <w:r>
        <w:t xml:space="preserve"> </w:t>
      </w:r>
      <w:r>
        <w:t xml:space="preserve">read replicas, and compliance-stamped exceptions. It then confronts the one</w:t>
      </w:r>
      <w:r>
        <w:t xml:space="preserve"> </w:t>
      </w:r>
      <w:r>
        <w:t xml:space="preserve">wall none of this moves: the speed of light. Network optimization (SD-WAN</w:t>
      </w:r>
      <w:r>
        <w:t xml:space="preserve"> </w:t>
      </w:r>
      <w:r>
        <w:t xml:space="preserve">differentiated transport, forward error correction, clock distribution) can</w:t>
      </w:r>
      <w:r>
        <w:t xml:space="preserve"> </w:t>
      </w:r>
      <w:r>
        <w:t xml:space="preserve">take you</w:t>
      </w:r>
      <w:r>
        <w:t xml:space="preserve"> </w:t>
      </w:r>
      <w:r>
        <w:rPr>
          <w:i/>
          <w:iCs/>
        </w:rPr>
        <w:t xml:space="preserve">to</w:t>
      </w:r>
      <w:r>
        <w:t xml:space="preserve"> </w:t>
      </w:r>
      <w:r>
        <w:t xml:space="preserve">the physical latency floor with a tight tail, but never</w:t>
      </w:r>
      <w: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it — so the correct architectural move is not</w:t>
      </w:r>
      <w:r>
        <w:t xml:space="preserve"> </w:t>
      </w:r>
      <w:r>
        <w:t xml:space="preserve">“make global sync fast”</w:t>
      </w:r>
      <w:r>
        <w:t xml:space="preserve"> </w:t>
      </w:r>
      <w:r>
        <w:t xml:space="preserve">but</w:t>
      </w:r>
      <w:r>
        <w:t xml:space="preserve"> </w:t>
      </w:r>
      <w:r>
        <w:t xml:space="preserve">“need less global sync.”</w:t>
      </w:r>
      <w:r>
        <w:t xml:space="preserve"> </w:t>
      </w:r>
      <w:r>
        <w:t xml:space="preserve">the Federal Modernization Program’s own SaaS data plane (the program decision) is the worked</w:t>
      </w:r>
      <w:r>
        <w:t xml:space="preserve"> </w:t>
      </w:r>
      <w:r>
        <w:t xml:space="preserve">reference example throughout.</w:t>
      </w:r>
    </w:p>
    <w:bookmarkEnd w:id="13"/>
    <w:bookmarkStart w:id="14" w:name="who-this-is-for"/>
    <w:p>
      <w:pPr>
        <w:pStyle w:val="Heading2"/>
      </w:pPr>
      <w:r>
        <w:t xml:space="preserve">Who this is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Architects and platform engineers</w:t>
      </w:r>
      <w:r>
        <w:t xml:space="preserve"> </w:t>
      </w:r>
      <w:r>
        <w:t xml:space="preserve">weighing centralized vs. distributed</w:t>
      </w:r>
      <w:r>
        <w:t xml:space="preserve"> </w:t>
      </w:r>
      <w:r>
        <w:t xml:space="preserve">data topologies for a multi-tenant or multi-region service.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CISOs and zero-trust practitioners</w:t>
      </w:r>
      <w:r>
        <w:t xml:space="preserve"> </w:t>
      </w:r>
      <w:r>
        <w:t xml:space="preserve">evaluating how identity-based security</w:t>
      </w:r>
      <w:r>
        <w:t xml:space="preserve"> </w:t>
      </w:r>
      <w:r>
        <w:t xml:space="preserve">changes the data-isolation calculus.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Network engineers</w:t>
      </w:r>
      <w:r>
        <w:t xml:space="preserve"> </w:t>
      </w:r>
      <w:r>
        <w:t xml:space="preserve">deciding what SD-WAN path differentiation can and</w:t>
      </w:r>
      <w:r>
        <w:t xml:space="preserve"> </w:t>
      </w:r>
      <w:r>
        <w:t xml:space="preserve">cannot buy a database tier.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Governance and compliance teams</w:t>
      </w:r>
      <w:r>
        <w:t xml:space="preserve"> </w:t>
      </w:r>
      <w:r>
        <w:t xml:space="preserve">mapping data-residency and blast-radius</w:t>
      </w:r>
      <w:r>
        <w:t xml:space="preserve"> </w:t>
      </w:r>
      <w:r>
        <w:t xml:space="preserve">constraints onto a consolidation strategy.</w:t>
      </w:r>
    </w:p>
    <w:bookmarkEnd w:id="14"/>
    <w:bookmarkStart w:id="25" w:name="chapters"/>
    <w:p>
      <w:pPr>
        <w:pStyle w:val="Heading2"/>
      </w:pPr>
      <w:r>
        <w:t xml:space="preserve">Chapters</w:t>
      </w:r>
    </w:p>
    <w:p>
      <w:pPr>
        <w:pStyle w:val="CaptionedFigure"/>
      </w:pPr>
      <w:r>
        <w:drawing>
          <wp:inline>
            <wp:extent cx="5334000" cy="1193866"/>
            <wp:effectExtent b="0" l="0" r="0" t="0"/>
            <wp:docPr descr="The chapters build one argument: the case for centralization, the physical wall, what transport can and cannot do, and the synthesis." title="" id="16" name="Picture"/>
            <a:graphic>
              <a:graphicData uri="http://schemas.openxmlformats.org/drawingml/2006/picture">
                <pic:pic>
                  <pic:nvPicPr>
                    <pic:cNvPr descr="../images/diagrams/ssot-network-physics/svg/series-00-argument-path.svg" id="1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93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chapters build one argument: the case for centralization, the physical wall, what transport can and cannot do, and the synthesis.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00</w:t>
      </w:r>
      <w:r>
        <w:t xml:space="preserve"> </w:t>
      </w:r>
      <w:r>
        <w:t xml:space="preserve">—</w:t>
      </w:r>
      <w:r>
        <w:t xml:space="preserve"> </w:t>
      </w:r>
      <w:hyperlink r:id="rId18">
        <w:r>
          <w:rPr>
            <w:rStyle w:val="Hyperlink"/>
          </w:rPr>
          <w:t xml:space="preserve">Executive Summary — The Centralization Question</w:t>
        </w:r>
      </w:hyperlink>
    </w:p>
    <w:p>
      <w:pPr>
        <w:pStyle w:val="Compact"/>
        <w:numPr>
          <w:ilvl w:val="1"/>
          <w:numId w:val="1003"/>
        </w:numPr>
      </w:pPr>
      <w:r>
        <w:t xml:space="preserve">The pendulum, the three forces, and the wall that does not move</w:t>
      </w:r>
    </w:p>
    <w:p>
      <w:pPr>
        <w:pStyle w:val="Compact"/>
        <w:numPr>
          <w:ilvl w:val="1"/>
          <w:numId w:val="1003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Executive stakeholders · architects · CISO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01</w:t>
      </w:r>
      <w:r>
        <w:t xml:space="preserve"> </w:t>
      </w:r>
      <w:r>
        <w:t xml:space="preserve">—</w:t>
      </w:r>
      <w:r>
        <w:t xml:space="preserve"> </w:t>
      </w:r>
      <w:hyperlink r:id="rId19">
        <w:r>
          <w:rPr>
            <w:rStyle w:val="Hyperlink"/>
          </w:rPr>
          <w:t xml:space="preserve">Logical Centralization and the Single Source of Truth</w:t>
        </w:r>
      </w:hyperlink>
    </w:p>
    <w:p>
      <w:pPr>
        <w:pStyle w:val="Compact"/>
        <w:numPr>
          <w:ilvl w:val="1"/>
          <w:numId w:val="1004"/>
        </w:numPr>
      </w:pPr>
      <w:r>
        <w:t xml:space="preserve">Why fewer authoritative copies beats more, and how hardware ate the scaling objection</w:t>
      </w:r>
    </w:p>
    <w:p>
      <w:pPr>
        <w:pStyle w:val="Compact"/>
        <w:numPr>
          <w:ilvl w:val="1"/>
          <w:numId w:val="1004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Architects · platform engineers · data owners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02</w:t>
      </w:r>
      <w:r>
        <w:t xml:space="preserve"> </w:t>
      </w:r>
      <w:r>
        <w:t xml:space="preserve">—</w:t>
      </w:r>
      <w:r>
        <w:t xml:space="preserve"> </w:t>
      </w:r>
      <w:hyperlink r:id="rId20">
        <w:r>
          <w:rPr>
            <w:rStyle w:val="Hyperlink"/>
          </w:rPr>
          <w:t xml:space="preserve">Token-Based Security as the Enabler</w:t>
        </w:r>
      </w:hyperlink>
    </w:p>
    <w:p>
      <w:pPr>
        <w:pStyle w:val="Compact"/>
        <w:numPr>
          <w:ilvl w:val="1"/>
          <w:numId w:val="1005"/>
        </w:numPr>
      </w:pPr>
      <w:r>
        <w:t xml:space="preserve">How zero-trust identity removes the historical reason to fragment data</w:t>
      </w:r>
    </w:p>
    <w:p>
      <w:pPr>
        <w:pStyle w:val="Compact"/>
        <w:numPr>
          <w:ilvl w:val="1"/>
          <w:numId w:val="1005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CISO · zero-trust practitioners · platform engineers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03</w:t>
      </w:r>
      <w:r>
        <w:t xml:space="preserve"> </w:t>
      </w:r>
      <w:r>
        <w:t xml:space="preserve">—</w:t>
      </w:r>
      <w:r>
        <w:t xml:space="preserve"> </w:t>
      </w:r>
      <w:hyperlink r:id="rId21">
        <w:r>
          <w:rPr>
            <w:rStyle w:val="Hyperlink"/>
          </w:rPr>
          <w:t xml:space="preserve">The Speed-of-Light Tax</w:t>
        </w:r>
      </w:hyperlink>
    </w:p>
    <w:p>
      <w:pPr>
        <w:pStyle w:val="Compact"/>
        <w:numPr>
          <w:ilvl w:val="1"/>
          <w:numId w:val="1006"/>
        </w:numPr>
      </w:pPr>
      <w:r>
        <w:t xml:space="preserve">Propagation delay vs. everything else, and why strong consistency is a latency problem</w:t>
      </w:r>
    </w:p>
    <w:p>
      <w:pPr>
        <w:pStyle w:val="Compact"/>
        <w:numPr>
          <w:ilvl w:val="1"/>
          <w:numId w:val="1006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Architects · network engineers · SRE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04</w:t>
      </w:r>
      <w:r>
        <w:t xml:space="preserve"> </w:t>
      </w:r>
      <w:r>
        <w:t xml:space="preserve">—</w:t>
      </w:r>
      <w:r>
        <w:t xml:space="preserve"> </w:t>
      </w:r>
      <w:hyperlink r:id="rId22">
        <w:r>
          <w:rPr>
            <w:rStyle w:val="Hyperlink"/>
          </w:rPr>
          <w:t xml:space="preserve">SD-WAN and Differentiated Transport</w:t>
        </w:r>
      </w:hyperlink>
    </w:p>
    <w:p>
      <w:pPr>
        <w:pStyle w:val="Compact"/>
        <w:numPr>
          <w:ilvl w:val="1"/>
          <w:numId w:val="1007"/>
        </w:numPr>
      </w:pPr>
      <w:r>
        <w:t xml:space="preserve">Path classes, tail-latency reduction, FEC, and clock distribution for keeping large databases in sync</w:t>
      </w:r>
    </w:p>
    <w:p>
      <w:pPr>
        <w:pStyle w:val="Compact"/>
        <w:numPr>
          <w:ilvl w:val="1"/>
          <w:numId w:val="1007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Network engineers · platform engineers · SRE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05</w:t>
      </w:r>
      <w:r>
        <w:t xml:space="preserve"> </w:t>
      </w:r>
      <w:r>
        <w:t xml:space="preserve">—</w:t>
      </w:r>
      <w:r>
        <w:t xml:space="preserve"> </w:t>
      </w:r>
      <w:hyperlink r:id="rId23">
        <w:r>
          <w:rPr>
            <w:rStyle w:val="Hyperlink"/>
          </w:rPr>
          <w:t xml:space="preserve">The Governed Path — Token-Bound Transport and the Application-Aware Overlay</w:t>
        </w:r>
      </w:hyperlink>
    </w:p>
    <w:p>
      <w:pPr>
        <w:pStyle w:val="Compact"/>
        <w:numPr>
          <w:ilvl w:val="1"/>
          <w:numId w:val="1008"/>
        </w:numPr>
      </w:pPr>
      <w:r>
        <w:rPr>
          <w:i/>
          <w:iCs/>
        </w:rPr>
        <w:t xml:space="preserve">Forward-looking (Proposed, the program decision).</w:t>
      </w:r>
      <w:r>
        <w:t xml:space="preserve"> </w:t>
      </w:r>
      <w:r>
        <w:t xml:space="preserve">Why an efficient edge device needs an identity-anchored fabric, and how the path becomes governed evidence</w:t>
      </w:r>
    </w:p>
    <w:p>
      <w:pPr>
        <w:pStyle w:val="Compact"/>
        <w:numPr>
          <w:ilvl w:val="1"/>
          <w:numId w:val="1008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Network architects · zero-trust practitioners · platform engineers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06</w:t>
      </w:r>
      <w:r>
        <w:t xml:space="preserve"> </w:t>
      </w:r>
      <w:r>
        <w:t xml:space="preserve">—</w:t>
      </w:r>
      <w:r>
        <w:t xml:space="preserve"> </w:t>
      </w:r>
      <w:hyperlink r:id="rId24">
        <w:r>
          <w:rPr>
            <w:rStyle w:val="Hyperlink"/>
          </w:rPr>
          <w:t xml:space="preserve">Matching Consistency Classes to Network Classes</w:t>
        </w:r>
      </w:hyperlink>
    </w:p>
    <w:p>
      <w:pPr>
        <w:pStyle w:val="Compact"/>
        <w:numPr>
          <w:ilvl w:val="1"/>
          <w:numId w:val="1009"/>
        </w:numPr>
      </w:pPr>
      <w:r>
        <w:t xml:space="preserve">The synthesis: aligning the data layer’s consistency model with the network layer’s transport tiers</w:t>
      </w:r>
    </w:p>
    <w:p>
      <w:pPr>
        <w:pStyle w:val="Compact"/>
        <w:numPr>
          <w:ilvl w:val="1"/>
          <w:numId w:val="1009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Architects · platform engineers · network engineers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07</w:t>
      </w:r>
      <w:r>
        <w:t xml:space="preserve"> </w:t>
      </w:r>
      <w:r>
        <w:t xml:space="preserve">— Reference Architecture — the Federal Modernization Program SaaS Data Plane</w:t>
      </w:r>
    </w:p>
    <w:p>
      <w:pPr>
        <w:pStyle w:val="Compact"/>
        <w:numPr>
          <w:ilvl w:val="1"/>
          <w:numId w:val="1010"/>
        </w:numPr>
      </w:pPr>
      <w:r>
        <w:t xml:space="preserve">How the program decision and the program decision implement centralize-the-truth / distribute-the-copies in practice</w:t>
      </w:r>
    </w:p>
    <w:p>
      <w:pPr>
        <w:pStyle w:val="Compact"/>
        <w:numPr>
          <w:ilvl w:val="1"/>
          <w:numId w:val="1010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Architects · platform engineers · governance teams</w:t>
      </w:r>
    </w:p>
    <w:bookmarkEnd w:id="25"/>
    <w:bookmarkStart w:id="26" w:name="provenance"/>
    <w:p>
      <w:pPr>
        <w:pStyle w:val="Heading2"/>
      </w:pPr>
      <w:r>
        <w:t xml:space="preserve">Provenance</w:t>
      </w:r>
    </w:p>
    <w:p>
      <w:pPr>
        <w:pStyle w:val="FirstParagraph"/>
      </w:pPr>
      <w:r>
        <w:t xml:space="preserve">This white paper is an analysis document. Its FMP-specific claims trace to</w:t>
      </w:r>
      <w:r>
        <w:t xml:space="preserve"> </w:t>
      </w:r>
      <w:r>
        <w:t xml:space="preserve">the canonical decision records they cite — principally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(Azure SaaS architecture),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(passwordless Entra</w:t>
      </w:r>
      <w:r>
        <w:t xml:space="preserve"> </w:t>
      </w:r>
      <w:r>
        <w:t xml:space="preserve">Postgres auth),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(GCC-Moderate boundary), and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(diagram</w:t>
      </w:r>
      <w:r>
        <w:t xml:space="preserve"> </w:t>
      </w:r>
      <w:r>
        <w:t xml:space="preserve">source-of-truth doctrine) under</w:t>
      </w:r>
      <w:r>
        <w:t xml:space="preserve"> </w:t>
      </w:r>
      <w:r>
        <w:rPr>
          <w:rStyle w:val="VerbatimChar"/>
        </w:rPr>
        <w:t xml:space="preserve">src/fmp/canon/adr/</w:t>
      </w:r>
      <w:r>
        <w:t xml:space="preserve"> </w:t>
      </w:r>
      <w:r>
        <w:t xml:space="preserve">— and, for the</w:t>
      </w:r>
      <w:r>
        <w:t xml:space="preserve"> </w:t>
      </w:r>
      <w:r>
        <w:t xml:space="preserve">forward-looking Chapter 5, the</w:t>
      </w:r>
      <w:r>
        <w:t xml:space="preserve"> </w:t>
      </w:r>
      <w:r>
        <w:rPr>
          <w:i/>
          <w:iCs/>
        </w:rPr>
        <w:t xml:space="preserve">Proposed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(Application-Aware</w:t>
      </w:r>
      <w:r>
        <w:t xml:space="preserve"> </w:t>
      </w:r>
      <w:r>
        <w:t xml:space="preserve">Networking and Token-Bound Transport) — and to the substrate</w:t>
      </w:r>
      <w:r>
        <w:t xml:space="preserve"> </w:t>
      </w:r>
      <w:r>
        <w:t xml:space="preserve">operating principle of SSOT recorded in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the program decision</w:t>
      </w:r>
      <w:r>
        <w:t xml:space="preserve">. Per the Federal Modernization Program</w:t>
      </w:r>
      <w:r>
        <w:t xml:space="preserve"> </w:t>
      </w:r>
      <w:r>
        <w:t xml:space="preserve">provenance doctrine, external facts (networking physics, vendor behavior) are</w:t>
      </w:r>
      <w:r>
        <w:t xml:space="preserve"> </w:t>
      </w:r>
      <w:r>
        <w:t xml:space="preserve">authoritative only where this document cites their source directly; where a</w:t>
      </w:r>
      <w:r>
        <w:t xml:space="preserve"> </w:t>
      </w:r>
      <w:r>
        <w:t xml:space="preserve">claim rests on a Federal Modernization Program decision, the ADR is named inline.</w:t>
      </w:r>
    </w:p>
    <w:bookmarkEnd w:id="26"/>
    <w:bookmarkStart w:id="27" w:name="a-note-on-figures"/>
    <w:p>
      <w:pPr>
        <w:pStyle w:val="Heading2"/>
      </w:pPr>
      <w:r>
        <w:t xml:space="preserve">A note on figures</w:t>
      </w:r>
    </w:p>
    <w:p>
      <w:pPr>
        <w:pStyle w:val="FirstParagraph"/>
      </w:pPr>
      <w:r>
        <w:t xml:space="preserve">This white paper uses no generative-AI raster figures and no inline Mermaid.</w:t>
      </w:r>
      <w:r>
        <w:t xml:space="preserve"> </w:t>
      </w:r>
      <w:r>
        <w:t xml:space="preserve">Each figure is generated from a committed source in</w:t>
      </w:r>
      <w:r>
        <w:t xml:space="preserve"> </w:t>
      </w:r>
      <w:r>
        <w:rPr>
          <w:rStyle w:val="VerbatimChar"/>
        </w:rPr>
        <w:t xml:space="preserve">docs/images/diagrams/ssot-network-physics/</w:t>
      </w:r>
      <w:r>
        <w:t xml:space="preserve"> </w:t>
      </w:r>
      <w:r>
        <w:t xml:space="preserve">with the site’s shared diagram</w:t>
      </w:r>
      <w:r>
        <w:t xml:space="preserve"> </w:t>
      </w:r>
      <w:r>
        <w:t xml:space="preserve">renderer (</w:t>
      </w:r>
      <w:r>
        <w:rPr>
          <w:rStyle w:val="VerbatimChar"/>
        </w:rPr>
        <w:t xml:space="preserve">scripts/diagrams/render.py</w:t>
      </w:r>
      <w:r>
        <w:t xml:space="preserve">): SVG for the web, a 2x PNG for the Word</w:t>
      </w:r>
      <w:r>
        <w:t xml:space="preserve"> </w:t>
      </w:r>
      <w:r>
        <w:t xml:space="preserve">edition.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svg" /><Relationship Type="http://schemas.openxmlformats.org/officeDocument/2006/relationships/image" Id="rId9" Target="media/rId9.png" /><Relationship Type="http://schemas.openxmlformats.org/officeDocument/2006/relationships/hyperlink" Id="rId12" Target="../../downloads/ssot-network-physics-bundle.docx" TargetMode="External" /><Relationship Type="http://schemas.openxmlformats.org/officeDocument/2006/relationships/hyperlink" Id="rId18" Target="./00-executive-summary.html" TargetMode="External" /><Relationship Type="http://schemas.openxmlformats.org/officeDocument/2006/relationships/hyperlink" Id="rId19" Target="./01-logical-centralization.html" TargetMode="External" /><Relationship Type="http://schemas.openxmlformats.org/officeDocument/2006/relationships/hyperlink" Id="rId20" Target="./02-token-security-enabler.html" TargetMode="External" /><Relationship Type="http://schemas.openxmlformats.org/officeDocument/2006/relationships/hyperlink" Id="rId21" Target="./03-speed-of-light-tax.html" TargetMode="External" /><Relationship Type="http://schemas.openxmlformats.org/officeDocument/2006/relationships/hyperlink" Id="rId22" Target="./04-sdwan-differentiated-transport.html" TargetMode="External" /><Relationship Type="http://schemas.openxmlformats.org/officeDocument/2006/relationships/hyperlink" Id="rId23" Target="./05-governed-path-transport.html" TargetMode="External" /><Relationship Type="http://schemas.openxmlformats.org/officeDocument/2006/relationships/hyperlink" Id="rId24" Target="./06-consistency-network-classes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downloads/ssot-network-physics-bundle.docx" TargetMode="External" /><Relationship Type="http://schemas.openxmlformats.org/officeDocument/2006/relationships/hyperlink" Id="rId18" Target="./00-executive-summary.html" TargetMode="External" /><Relationship Type="http://schemas.openxmlformats.org/officeDocument/2006/relationships/hyperlink" Id="rId19" Target="./01-logical-centralization.html" TargetMode="External" /><Relationship Type="http://schemas.openxmlformats.org/officeDocument/2006/relationships/hyperlink" Id="rId20" Target="./02-token-security-enabler.html" TargetMode="External" /><Relationship Type="http://schemas.openxmlformats.org/officeDocument/2006/relationships/hyperlink" Id="rId21" Target="./03-speed-of-light-tax.html" TargetMode="External" /><Relationship Type="http://schemas.openxmlformats.org/officeDocument/2006/relationships/hyperlink" Id="rId22" Target="./04-sdwan-differentiated-transport.html" TargetMode="External" /><Relationship Type="http://schemas.openxmlformats.org/officeDocument/2006/relationships/hyperlink" Id="rId23" Target="./05-governed-path-transport.html" TargetMode="External" /><Relationship Type="http://schemas.openxmlformats.org/officeDocument/2006/relationships/hyperlink" Id="rId24" Target="./06-consistency-network-classes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Physics of a Single Source of Truth</dc:title>
  <dc:creator/>
  <cp:keywords/>
  <dcterms:created xsi:type="dcterms:W3CDTF">2026-10-19T10:11:42Z</dcterms:created>
  <dcterms:modified xsi:type="dcterms:W3CDTF">2026-10-19T10:11:42Z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biblio-config">
    <vt:lpwstr>True</vt:lpwstr>
  </property>
  <property fmtid="{D5CDD505-2E9C-101B-9397-08002B2CF9AE}" pid="4" name="date">
    <vt:lpwstr>2026-06-22</vt:lpwstr>
  </property>
  <property fmtid="{D5CDD505-2E9C-101B-9397-08002B2CF9AE}" pid="5" name="doc-type">
    <vt:lpwstr>series-index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draft</vt:lpwstr>
  </property>
  <property fmtid="{D5CDD505-2E9C-101B-9397-08002B2CF9AE}" pid="11" name="lifecycle_review">
    <vt:lpwstr>2026-12-22</vt:lpwstr>
  </property>
  <property fmtid="{D5CDD505-2E9C-101B-9397-08002B2CF9AE}" pid="12" name="series-id">
    <vt:lpwstr>ssot-network-physics</vt:lpwstr>
  </property>
  <property fmtid="{D5CDD505-2E9C-101B-9397-08002B2CF9AE}" pid="13" name="subtitle">
    <vt:lpwstr>Eight-chapter white paper on logical centralization, token-based security, the speed-of-light tax, SD-WAN differentiated transport, and token-bound transport governance — and how the Federal Modernization Program resolves them.</vt:lpwstr>
  </property>
  <property fmtid="{D5CDD505-2E9C-101B-9397-08002B2CF9AE}" pid="14" name="tiers_adopted">
    <vt:lpwstr/>
  </property>
  <property fmtid="{D5CDD505-2E9C-101B-9397-08002B2CF9AE}" pid="15" name="toc-title">
    <vt:lpwstr>Table of contents</vt:lpwstr>
  </property>
</Properties>
</file>