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svg" ContentType="image/svg+xml"/>
  <Override PartName="/word/media/rId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Assessment Tools vs. Closing BOD-25-01 Findings</w:t>
      </w:r>
    </w:p>
    <w:p>
      <w:pPr>
        <w:pStyle w:val="Subtitle"/>
      </w:pPr>
      <w:r>
        <w:t xml:space="preserve">Why the order — remediate, then assess — is the difference between a compliance posture and a growing deviation list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2026-07-01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2" w:name="Xc034180643c9e5a8a2f84480af6954bd92eb664"/>
    <w:p>
      <w:pPr>
        <w:pStyle w:val="Heading1"/>
      </w:pPr>
      <w:r>
        <w:t xml:space="preserve">Assessment Tools vs. Closing BOD-25-01 Findings</w:t>
      </w:r>
    </w:p>
    <w:bookmarkStart w:id="31" w:name="X4572e9bc5fd9189f299a1df38563a64ed6430e0"/>
    <w:p>
      <w:pPr>
        <w:pStyle w:val="Heading2"/>
      </w:pPr>
      <w:r>
        <w:t xml:space="preserve">Why the order — remediate, then assess — is the difference between a compliance posture and a growing deviation list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Agencies met BOD 25-01’s early deadlines and now treat</w:t>
            </w:r>
            <w:r>
              <w:t xml:space="preserve"> </w:t>
            </w:r>
            <w:r>
              <w:t xml:space="preserve">“ScubaGear</w:t>
            </w:r>
            <w:r>
              <w:t xml:space="preserve"> </w:t>
            </w:r>
            <w:r>
              <w:t xml:space="preserve">is running and reporting”</w:t>
            </w:r>
            <w:r>
              <w:t xml:space="preserve"> </w:t>
            </w:r>
            <w:r>
              <w:t xml:space="preserve">as the compliance answer. ScubaGear and Microsoft’s</w:t>
            </w:r>
            <w:r>
              <w:t xml:space="preserve"> </w:t>
            </w:r>
            <w:r>
              <w:t xml:space="preserve">Zero Trust Assessment are read-only thermometers; run without an architecture</w:t>
            </w:r>
            <w:r>
              <w:t xml:space="preserve"> </w:t>
            </w:r>
            <w:r>
              <w:t xml:space="preserve">to close what they find, they produce a compliant-looking feed over a growing</w:t>
            </w:r>
            <w:r>
              <w:t xml:space="preserve"> </w:t>
            </w:r>
            <w:r>
              <w:t xml:space="preserve">deviation list — satisfying rows one through four of the directive while</w:t>
            </w:r>
            <w:r>
              <w:t xml:space="preserve"> </w:t>
            </w:r>
            <w:r>
              <w:t xml:space="preserve">quietly failing row five,</w:t>
            </w:r>
            <w:r>
              <w:t xml:space="preserve"> </w:t>
            </w:r>
            <w:r>
              <w:rPr>
                <w:i/>
                <w:iCs/>
              </w:rPr>
              <w:t xml:space="preserve">remediate</w:t>
            </w:r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Reverse the order. Build the layers a finding actually depends</w:t>
            </w:r>
            <w:r>
              <w:t xml:space="preserve"> </w:t>
            </w:r>
            <w:r>
              <w:t xml:space="preserve">on first — DDI/PKI, device and workload identity, phased legacy-auth</w:t>
            </w:r>
            <w:r>
              <w:t xml:space="preserve"> </w:t>
            </w:r>
            <w:r>
              <w:t xml:space="preserve">elimination, governed exceptions — then run the assessors at</w:t>
            </w:r>
            <w:r>
              <w:t xml:space="preserve"> </w:t>
            </w:r>
            <w:r>
              <w:rPr>
                <w:i/>
                <w:iCs/>
              </w:rPr>
              <w:t xml:space="preserve">Validate</w:t>
            </w:r>
            <w:r>
              <w:t xml:space="preserve"> </w:t>
            </w:r>
            <w:r>
              <w:t xml:space="preserve">(phase</w:t>
            </w:r>
            <w:r>
              <w:t xml:space="preserve"> </w:t>
            </w:r>
            <w:r>
              <w:t xml:space="preserve">five of the compliance series’s sequence) as confirmation, and keep running them</w:t>
            </w:r>
            <w:r>
              <w:t xml:space="preserve"> </w:t>
            </w:r>
            <w:r>
              <w:t xml:space="preserve">continuously with every open deviation owned, dated, and aging against an SLA.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Stop counting scan cadence as remediation. Route every current</w:t>
            </w:r>
            <w:r>
              <w:t xml:space="preserve"> </w:t>
            </w:r>
            <w:r>
              <w:t xml:space="preserve">ScubaGear and Zero Trust Assessment finding to one of three responses —</w:t>
            </w:r>
            <w:r>
              <w:t xml:space="preserve"> </w:t>
            </w:r>
            <w:r>
              <w:t xml:space="preserve">immediate configuration change, architectural work, or documented and dated</w:t>
            </w:r>
            <w:r>
              <w:t xml:space="preserve"> </w:t>
            </w:r>
            <w:r>
              <w:t xml:space="preserve">risk acceptance — and fund the architectural layers in §5 before the next</w:t>
            </w:r>
            <w:r>
              <w:t xml:space="preserve"> </w:t>
            </w:r>
            <w:r>
              <w:t xml:space="preserve">reporting cycle sends the same backlog to CISA.</w:t>
            </w:r>
          </w:p>
          <w:p/>
        </w:tc>
      </w:tr>
    </w:tbl>
    <w:bookmarkStart w:id="17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CISA</w:t>
      </w:r>
      <w:r>
        <w:t xml:space="preserve"> </w:t>
      </w:r>
      <w:hyperlink r:id="rId12">
        <w:r>
          <w:rPr>
            <w:rStyle w:val="Hyperlink"/>
          </w:rPr>
          <w:t xml:space="preserve">Binding Operational Directive 25-01</w:t>
        </w:r>
      </w:hyperlink>
      <w:r>
        <w:t xml:space="preserve">,</w:t>
      </w:r>
      <w:r>
        <w:t xml:space="preserve"> </w:t>
      </w:r>
      <w:r>
        <w:rPr>
          <w:i/>
          <w:iCs/>
        </w:rPr>
        <w:t xml:space="preserve">Implementing Secure Practices for Cloud Services</w:t>
      </w:r>
      <w:r>
        <w:t xml:space="preserve">, requires federal civilian</w:t>
      </w:r>
      <w:r>
        <w:t xml:space="preserve"> </w:t>
      </w:r>
      <w:r>
        <w:t xml:space="preserve">agencies to identify their Microsoft 365 tenants, implement the SCuBA Secure</w:t>
      </w:r>
      <w:r>
        <w:t xml:space="preserve"> </w:t>
      </w:r>
      <w:r>
        <w:t xml:space="preserve">Configuration Baselines against them, deploy CISA’s ScubaGear assessment tool,</w:t>
      </w:r>
      <w:r>
        <w:t xml:space="preserve"> </w:t>
      </w:r>
      <w:r>
        <w:t xml:space="preserve">integrate with CISA’s continuous-monitoring infrastructure, and</w:t>
      </w:r>
      <w:r>
        <w:t xml:space="preserve"> </w:t>
      </w:r>
      <w:r>
        <w:rPr>
          <w:b/>
          <w:bCs/>
        </w:rPr>
        <w:t xml:space="preserve">remediate</w:t>
      </w:r>
      <w:r>
        <w:rPr>
          <w:b/>
          <w:bCs/>
        </w:rPr>
        <w:t xml:space="preserve"> </w:t>
      </w:r>
      <w:r>
        <w:rPr>
          <w:b/>
          <w:bCs/>
        </w:rPr>
        <w:t xml:space="preserve">deviations</w:t>
      </w:r>
      <w:r>
        <w:t xml:space="preserve"> </w:t>
      </w:r>
      <w:r>
        <w:t xml:space="preserve">from the baselines. Agencies met the directive’s early deadlines —</w:t>
      </w:r>
      <w:r>
        <w:t xml:space="preserve"> </w:t>
      </w:r>
      <w:r>
        <w:t xml:space="preserve">tenant identification by February 21, 2025, and ScubaGear deployment with</w:t>
      </w:r>
      <w:r>
        <w:t xml:space="preserve"> </w:t>
      </w:r>
      <w:r>
        <w:t xml:space="preserve">continuous reporting active by April 25, 2025 — and many now treat</w:t>
      </w:r>
      <w:r>
        <w:t xml:space="preserve"> </w:t>
      </w:r>
      <w:r>
        <w:t xml:space="preserve">“ScubaGear</w:t>
      </w:r>
      <w:r>
        <w:t xml:space="preserve"> </w:t>
      </w:r>
      <w:r>
        <w:t xml:space="preserve">is running and reporting”</w:t>
      </w:r>
      <w:r>
        <w:t xml:space="preserve"> </w:t>
      </w:r>
      <w:r>
        <w:t xml:space="preserve">as the compliance answer itself.</w:t>
      </w:r>
    </w:p>
    <w:p>
      <w:pPr>
        <w:pStyle w:val="BodyText"/>
      </w:pPr>
      <w:r>
        <w:t xml:space="preserve">It is not. ScubaGear measures deviation from a baseline; it does not close any</w:t>
      </w:r>
      <w:r>
        <w:t xml:space="preserve"> </w:t>
      </w:r>
      <w:r>
        <w:t xml:space="preserve">of them. Neither does Microsoft’s</w:t>
      </w:r>
      <w:r>
        <w:t xml:space="preserve"> </w:t>
      </w:r>
      <w:r>
        <w:rPr>
          <w:b/>
          <w:bCs/>
        </w:rPr>
        <w:t xml:space="preserve">Zero Trust Assessment</w:t>
      </w:r>
      <w:r>
        <w:t xml:space="preserve"> </w:t>
      </w:r>
      <w:r>
        <w:t xml:space="preserve">— the tool’s actual</w:t>
      </w:r>
      <w:r>
        <w:t xml:space="preserve"> </w:t>
      </w:r>
      <w:r>
        <w:t xml:space="preserve">name, shipped as the</w:t>
      </w:r>
      <w:r>
        <w:t xml:space="preserve"> </w:t>
      </w:r>
      <w:r>
        <w:rPr>
          <w:rStyle w:val="VerbatimChar"/>
        </w:rPr>
        <w:t xml:space="preserve">ZeroTrustAssessment</w:t>
      </w:r>
      <w:r>
        <w:t xml:space="preserve"> </w:t>
      </w:r>
      <w:r>
        <w:t xml:space="preserve">PowerShell module; “ZTTT” is this</w:t>
      </w:r>
      <w:r>
        <w:t xml:space="preserve"> </w:t>
      </w:r>
      <w:r>
        <w:t xml:space="preserve">series’ internal shorthand and not a Microsoft designation — which many</w:t>
      </w:r>
      <w:r>
        <w:t xml:space="preserve"> </w:t>
      </w:r>
      <w:r>
        <w:t xml:space="preserve">agencies run alongside SCuBA to gauge broader Zero Trust maturity. Both tools</w:t>
      </w:r>
      <w:r>
        <w:t xml:space="preserve"> </w:t>
      </w:r>
      <w:r>
        <w:t xml:space="preserve">are, by design,</w:t>
      </w:r>
      <w:r>
        <w:t xml:space="preserve"> </w:t>
      </w:r>
      <w:r>
        <w:rPr>
          <w:b/>
          <w:bCs/>
        </w:rPr>
        <w:t xml:space="preserve">read-only diagnostic instruments</w:t>
      </w:r>
      <w:r>
        <w:t xml:space="preserve"> </w:t>
      </w:r>
      <w:r>
        <w:t xml:space="preserve">— the same category as a</w:t>
      </w:r>
      <w:r>
        <w:t xml:space="preserve"> </w:t>
      </w:r>
      <w:r>
        <w:t xml:space="preserve">thermometer. A thermometer that reports a fever every day for a year is not a</w:t>
      </w:r>
      <w:r>
        <w:t xml:space="preserve"> </w:t>
      </w:r>
      <w:r>
        <w:t xml:space="preserve">treatment plan, and an agency that runs ScubaGear on a schedule without an</w:t>
      </w:r>
      <w:r>
        <w:t xml:space="preserve"> </w:t>
      </w:r>
      <w:r>
        <w:t xml:space="preserve">architecture to close what it finds is reading the same thermometer on a loop.</w:t>
      </w:r>
    </w:p>
    <w:p>
      <w:pPr>
        <w:pStyle w:val="BodyText"/>
      </w:pPr>
      <w:r>
        <w:t xml:space="preserve">This whitepaper makes the case, with the numbers behind it, for a specific</w:t>
      </w:r>
      <w:r>
        <w:t xml:space="preserve"> </w:t>
      </w:r>
      <w:r>
        <w:t xml:space="preserve">sequencing discipline:</w:t>
      </w:r>
      <w:r>
        <w:t xml:space="preserve"> </w:t>
      </w:r>
      <w:r>
        <w:rPr>
          <w:b/>
          <w:bCs/>
        </w:rPr>
        <w:t xml:space="preserve">close the architectural gap first, then assess</w:t>
      </w:r>
      <w:r>
        <w:t xml:space="preserve"> </w:t>
      </w:r>
      <w:r>
        <w:t xml:space="preserve">—</w:t>
      </w:r>
      <w:r>
        <w:t xml:space="preserve"> </w:t>
      </w:r>
      <w:r>
        <w:t xml:space="preserve">and keep assessing continuously afterward, because that continuous</w:t>
      </w:r>
      <w:r>
        <w:t xml:space="preserve"> </w:t>
      </w:r>
      <w:r>
        <w:t xml:space="preserve">reporting loop is itself a BOD-25-01 obligation, not an optional extra. Run in</w:t>
      </w:r>
      <w:r>
        <w:t xml:space="preserve"> </w:t>
      </w:r>
      <w:r>
        <w:t xml:space="preserve">the wrong order, ScubaGear and ZTTT each produce an accurate, growing list of</w:t>
      </w:r>
      <w:r>
        <w:t xml:space="preserve"> </w:t>
      </w:r>
      <w:r>
        <w:t xml:space="preserve">findings with no mechanism to act on them coherently. Run in the right order,</w:t>
      </w:r>
      <w:r>
        <w:t xml:space="preserve"> </w:t>
      </w:r>
      <w:r>
        <w:t xml:space="preserve">the same tools become exactly what the directive intends: confirmation that a</w:t>
      </w:r>
      <w:r>
        <w:t xml:space="preserve"> </w:t>
      </w:r>
      <w:r>
        <w:t xml:space="preserve">built architecture is holding, continuously, in evidence an assessor can trust.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" w:name="X7e8cd8b174a6bcf2ce800d2ae8b06c37d0b7746"/>
          <w:p>
            <w:pPr>
              <w:pStyle w:val="Compact"/>
              <w:jc w:val="center"/>
            </w:pPr>
            <w:r>
              <w:drawing>
                <wp:inline>
                  <wp:extent cx="5334000" cy="3000375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../images/whitepapers/bod-25-01-close-before-assess-diagram-01-six-phase-sequence.sv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Six-phase sequence — architecture before assessment</w:t>
            </w:r>
          </w:p>
          <w:bookmarkEnd w:id="16"/>
        </w:tc>
      </w:tr>
    </w:tbl>
    <w:bookmarkEnd w:id="17"/>
    <w:bookmarkStart w:id="18" w:name="what-bod-25-01-actually-requires"/>
    <w:p>
      <w:pPr>
        <w:pStyle w:val="Heading3"/>
      </w:pPr>
      <w:r>
        <w:t xml:space="preserve">1. What BOD-25-01 actually requires</w:t>
      </w:r>
    </w:p>
    <w:p>
      <w:pPr>
        <w:pStyle w:val="FirstParagraph"/>
      </w:pPr>
      <w:r>
        <w:t xml:space="preserve">BOD 25-01 is narrower and more concrete than</w:t>
      </w:r>
      <w:r>
        <w:t xml:space="preserve"> </w:t>
      </w:r>
      <w:r>
        <w:t xml:space="preserve">“improve cloud security.”</w:t>
      </w:r>
      <w:r>
        <w:t xml:space="preserve"> </w:t>
      </w:r>
      <w:r>
        <w:t xml:space="preserve">Its</w:t>
      </w:r>
      <w:r>
        <w:t xml:space="preserve"> </w:t>
      </w:r>
      <w:r>
        <w:t xml:space="preserve">obligations, as issued: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Obligation</w:t>
            </w:r>
          </w:p>
        </w:tc>
        <w:tc>
          <w:tcPr/>
          <w:p>
            <w:pPr>
              <w:pStyle w:val="Compact"/>
            </w:pPr>
            <w:r>
              <w:t xml:space="preserve">What it requires</w:t>
            </w:r>
          </w:p>
        </w:tc>
        <w:tc>
          <w:tcPr/>
          <w:p>
            <w:pPr>
              <w:pStyle w:val="Compact"/>
            </w:pPr>
            <w:r>
              <w:t xml:space="preserve">Status as of this writing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inventory</w:t>
            </w:r>
          </w:p>
        </w:tc>
        <w:tc>
          <w:tcPr/>
          <w:p>
            <w:pPr>
              <w:pStyle w:val="Compact"/>
            </w:pPr>
            <w:r>
              <w:t xml:space="preserve">Report the tenant name and system-owning agency/component for every in-scope cloud tenant — M365 and, since the Google Workspace baselines gained BOD 25-01 Requirement indicators on 10 Jul 2026, Workspace too</w:t>
            </w:r>
          </w:p>
        </w:tc>
        <w:tc>
          <w:tcPr/>
          <w:p>
            <w:pPr>
              <w:pStyle w:val="Compact"/>
            </w:pPr>
            <w:r>
              <w:t xml:space="preserve">First due Feb 21, 2025 —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one-time: agencies refresh the inventory in the first quarter of each year and keep it current through the fiscal year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Baseline implementation</w:t>
            </w:r>
          </w:p>
        </w:tc>
        <w:tc>
          <w:tcPr/>
          <w:p>
            <w:pPr>
              <w:pStyle w:val="Compact"/>
            </w:pPr>
            <w:r>
              <w:t xml:space="preserve">Configure each tenant to the published SCuBA Secure Configuration Baselines (SCBs).</w:t>
            </w:r>
            <w:r>
              <w:t xml:space="preserve"> </w:t>
            </w:r>
            <w:r>
              <w:rPr>
                <w:b/>
                <w:bCs/>
              </w:rPr>
              <w:t xml:space="preserve">No longer M365-only:</w:t>
            </w:r>
            <w:r>
              <w:t xml:space="preserve"> </w:t>
            </w:r>
            <w:r>
              <w:t xml:space="preserve">CISA’s Google Workspace baselines have carried BOD 25-01 Requirement indicators since 10 Jul 2026, so an agency with a Workspace tenant is in scope. All mandatory (“shall”) policies from the finalized baselines were due</w:t>
            </w:r>
            <w:r>
              <w:t xml:space="preserve"> </w:t>
            </w:r>
            <w:r>
              <w:rPr>
                <w:b/>
                <w:bCs/>
              </w:rPr>
              <w:t xml:space="preserve">20 Jun 2025</w:t>
            </w:r>
          </w:p>
        </w:tc>
        <w:tc>
          <w:tcPr/>
          <w:p>
            <w:pPr>
              <w:pStyle w:val="Compact"/>
            </w:pPr>
            <w:r>
              <w:t xml:space="preserve">Ongoing — baselines revise; agencies must track revisions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Tool deployment</w:t>
            </w:r>
          </w:p>
        </w:tc>
        <w:tc>
          <w:tcPr/>
          <w:p>
            <w:pPr>
              <w:pStyle w:val="Compact"/>
            </w:pPr>
            <w:r>
              <w:t xml:space="preserve">Deploy CISA’s assessor against every in-scope tenant — ScubaGear for M365,</w:t>
            </w:r>
            <w:r>
              <w:t xml:space="preserve"> </w:t>
            </w:r>
            <w:r>
              <w:rPr>
                <w:b/>
                <w:bCs/>
              </w:rPr>
              <w:t xml:space="preserve">ScubaGoggles</w:t>
            </w:r>
            <w:r>
              <w:t xml:space="preserve"> </w:t>
            </w:r>
            <w:r>
              <w:t xml:space="preserve">for Google Workspace (v1.0.0 GA 24 Jul 2026; v1.0.1, 28 Jul). ScubaConnect runs both: GearConnect for M365, GogglesConnect for Workspace</w:t>
            </w:r>
          </w:p>
        </w:tc>
        <w:tc>
          <w:tcPr/>
          <w:p>
            <w:pPr>
              <w:pStyle w:val="Compact"/>
            </w:pPr>
            <w:r>
              <w:t xml:space="preserve">Due Apr 25, 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Continuous reporting</w:t>
            </w:r>
          </w:p>
        </w:tc>
        <w:tc>
          <w:tcPr/>
          <w:p>
            <w:pPr>
              <w:pStyle w:val="Compact"/>
            </w:pPr>
            <w:r>
              <w:t xml:space="preserve">Integrate assessor output (ScubaGear and/or ScubaGoggles) with CISA’s continuous-monitoring infrastructure on an ongoing basis</w:t>
            </w:r>
          </w:p>
        </w:tc>
        <w:tc>
          <w:tcPr/>
          <w:p>
            <w:pPr>
              <w:pStyle w:val="Compact"/>
            </w:pPr>
            <w:r>
              <w:t xml:space="preserve">Active since Apr 25, 2025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Remediation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Remediate deviations from the SCBs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Open-ended, ongoing obligation — this is the line agencies underweight</w:t>
            </w:r>
          </w:p>
        </w:tc>
      </w:tr>
    </w:tbl>
    <w:p>
      <w:pPr>
        <w:pStyle w:val="BodyText"/>
      </w:pPr>
      <w:r>
        <w:t xml:space="preserve">Four of these five rows are administrative or mechanical: report a tenant</w:t>
      </w:r>
      <w:r>
        <w:t xml:space="preserve"> </w:t>
      </w:r>
      <w:r>
        <w:t xml:space="preserve">name, install a PowerShell tool, wire up a feed. The fifth — remediation — is</w:t>
      </w:r>
      <w:r>
        <w:t xml:space="preserve"> </w:t>
      </w:r>
      <w:r>
        <w:t xml:space="preserve">architectural work, and it is the row the directive is actually</w:t>
      </w:r>
      <w:r>
        <w:t xml:space="preserve"> </w:t>
      </w:r>
      <w:r>
        <w:rPr>
          <w:i/>
          <w:iCs/>
        </w:rPr>
        <w:t xml:space="preserve">for</w:t>
      </w:r>
      <w:r>
        <w:t xml:space="preserve">. A</w:t>
      </w:r>
      <w:r>
        <w:t xml:space="preserve"> </w:t>
      </w:r>
      <w:r>
        <w:t xml:space="preserve">ScubaGear report that faithfully lists forty deviations against the SCB every</w:t>
      </w:r>
      <w:r>
        <w:t xml:space="preserve"> </w:t>
      </w:r>
      <w:r>
        <w:t xml:space="preserve">week satisfies rows one through four. It does not satisfy row five, and row</w:t>
      </w:r>
      <w:r>
        <w:t xml:space="preserve"> </w:t>
      </w:r>
      <w:r>
        <w:t xml:space="preserve">five is not optional under the directive’s own text.</w:t>
      </w:r>
    </w:p>
    <w:bookmarkEnd w:id="18"/>
    <w:bookmarkStart w:id="21" w:name="Xd35ca988edde64e10ddaf61cb186744fc1d43aa"/>
    <w:p>
      <w:pPr>
        <w:pStyle w:val="Heading3"/>
      </w:pPr>
      <w:r>
        <w:t xml:space="preserve">2. What the assessors measure, and what they don’t</w:t>
      </w:r>
    </w:p>
    <w:p>
      <w:pPr>
        <w:pStyle w:val="FirstParagraph"/>
      </w:pPr>
      <w:r>
        <w:t xml:space="preserve">ScubaGear and Microsoft’s Zero Trust Assessment are both, in FMP’s adapter</w:t>
      </w:r>
      <w:r>
        <w:t xml:space="preserve"> </w:t>
      </w:r>
      <w:r>
        <w:t xml:space="preserve">taxonomy,</w:t>
      </w:r>
      <w:r>
        <w:t xml:space="preserve"> </w:t>
      </w:r>
      <w:r>
        <w:rPr>
          <w:rStyle w:val="VerbatimChar"/>
        </w:rPr>
        <w:t xml:space="preserve">class: conformance</w:t>
      </w:r>
      <w:r>
        <w:t xml:space="preserve"> </w:t>
      </w:r>
      <w:r>
        <w:t xml:space="preserve">instruments — see the</w:t>
      </w:r>
      <w:r>
        <w:t xml:space="preserve"> </w:t>
      </w:r>
      <w:hyperlink r:id="rId19">
        <w:r>
          <w:rPr>
            <w:rStyle w:val="Hyperlink"/>
          </w:rPr>
          <w:t xml:space="preserve">ScubaGear Integration whitepaper</w:t>
        </w:r>
      </w:hyperlink>
      <w:r>
        <w:t xml:space="preserve"> </w:t>
      </w:r>
      <w:r>
        <w:t xml:space="preserve">for</w:t>
      </w:r>
      <w:r>
        <w:t xml:space="preserve"> </w:t>
      </w:r>
      <w:r>
        <w:t xml:space="preserve">the full canonical treatment. Neither writes to a tenant. Both read</w:t>
      </w:r>
      <w:r>
        <w:t xml:space="preserve"> </w:t>
      </w:r>
      <w:r>
        <w:t xml:space="preserve">configuration state and score it against a baseline (SCuBA’s prescriptive</w:t>
      </w:r>
      <w:r>
        <w:t xml:space="preserve"> </w:t>
      </w:r>
      <w:r>
        <w:t xml:space="preserve">SHALL/SHOULD policies) or a maturity model (ZTTT’s pillar-scored checks against</w:t>
      </w:r>
      <w:r>
        <w:t xml:space="preserve"> </w:t>
      </w:r>
      <w:r>
        <w:t xml:space="preserve">Microsoft’s Zero Trust guidance). The</w:t>
      </w:r>
      <w:r>
        <w:t xml:space="preserve"> </w:t>
      </w:r>
      <w:hyperlink r:id="rId20">
        <w:r>
          <w:rPr>
            <w:rStyle w:val="Hyperlink"/>
          </w:rPr>
          <w:t xml:space="preserve">Microsoft Zero Trust Assessment and CISA SCuBA whitepaper</w:t>
        </w:r>
      </w:hyperlink>
      <w:r>
        <w:t xml:space="preserve"> </w:t>
      </w:r>
      <w:r>
        <w:t xml:space="preserve">covers the two tools’ relationship in detail — they overlap almost entirely on</w:t>
      </w:r>
      <w:r>
        <w:t xml:space="preserve"> </w:t>
      </w:r>
      <w:r>
        <w:t xml:space="preserve">one surface (Entra identity) and otherwise cover different ground (SCuBA:</w:t>
      </w:r>
      <w:r>
        <w:t xml:space="preserve"> </w:t>
      </w:r>
      <w:r>
        <w:t xml:space="preserve">Exchange, Defender for Office 365, Teams, Power Platform; ZTTT: Intune devices,</w:t>
      </w:r>
      <w:r>
        <w:t xml:space="preserve"> </w:t>
      </w:r>
      <w:r>
        <w:t xml:space="preserve">Azure networking, Microsoft Purview data).</w:t>
      </w:r>
    </w:p>
    <w:p>
      <w:pPr>
        <w:pStyle w:val="BodyText"/>
      </w:pPr>
      <w:r>
        <w:t xml:space="preserve">The distinction this whitepaper turns on is not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tool an agency should</w:t>
      </w:r>
      <w:r>
        <w:t xml:space="preserve"> </w:t>
      </w:r>
      <w:r>
        <w:t xml:space="preserve">run — the answer there is</w:t>
      </w:r>
      <w:r>
        <w:t xml:space="preserve"> </w:t>
      </w:r>
      <w:r>
        <w:t xml:space="preserve">“both, for different questions”</w:t>
      </w:r>
      <w:r>
        <w:t xml:space="preserve"> </w:t>
      </w:r>
      <w:r>
        <w:t xml:space="preserve">— it is what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tool is structurally capable of doing once it runs. Neither can: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Design the Entra Conditional Access policy set, NTLM elimination</w:t>
      </w:r>
      <w:r>
        <w:rPr>
          <w:b/>
          <w:bCs/>
        </w:rPr>
        <w:t xml:space="preserve"> </w:t>
      </w:r>
      <w:r>
        <w:rPr>
          <w:b/>
          <w:bCs/>
        </w:rPr>
        <w:t xml:space="preserve">sequence, and Arc Managed Identity chain</w:t>
      </w:r>
      <w:r>
        <w:t xml:space="preserve"> </w:t>
      </w:r>
      <w:r>
        <w:t xml:space="preserve">that moves a tenant’s Zero Trust</w:t>
      </w:r>
      <w:r>
        <w:t xml:space="preserve"> </w:t>
      </w:r>
      <w:r>
        <w:t xml:space="preserve">identity pillar from</w:t>
      </w:r>
      <w:r>
        <w:t xml:space="preserve"> </w:t>
      </w:r>
      <w:r>
        <w:t xml:space="preserve">“Traditional”</w:t>
      </w:r>
      <w:r>
        <w:t xml:space="preserve"> </w:t>
      </w:r>
      <w:r>
        <w:t xml:space="preserve">to</w:t>
      </w:r>
      <w:r>
        <w:t xml:space="preserve"> </w:t>
      </w:r>
      <w:r>
        <w:t xml:space="preserve">“Advanced.”</w:t>
      </w:r>
      <w:r>
        <w:t xml:space="preserve"> </w:t>
      </w:r>
      <w:r>
        <w:t xml:space="preserve">ZTTT can score the gap; it</w:t>
      </w:r>
      <w:r>
        <w:t xml:space="preserve"> </w:t>
      </w:r>
      <w:r>
        <w:t xml:space="preserve">cannot close 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Design the DDI/IPAM grid</w:t>
      </w:r>
      <w:r>
        <w:t xml:space="preserve"> </w:t>
      </w:r>
      <w:r>
        <w:t xml:space="preserve">that makes DNSSEC and the network-layer</w:t>
      </w:r>
      <w:r>
        <w:t xml:space="preserve"> </w:t>
      </w:r>
      <w:r>
        <w:t xml:space="preserve">controls SCuBA checks for actually enforceable across every environment the</w:t>
      </w:r>
      <w:r>
        <w:t xml:space="preserve"> </w:t>
      </w:r>
      <w:r>
        <w:t xml:space="preserve">agency operates. ScubaGear can tell you DNSSEC is disabled; it cannot build</w:t>
      </w:r>
      <w:r>
        <w:t xml:space="preserve"> </w:t>
      </w:r>
      <w:r>
        <w:t xml:space="preserve">the naming-and-addressing plane underneath 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Resolve the GCC-Moderate boundary conflict</w:t>
      </w:r>
      <w:r>
        <w:t xml:space="preserve"> </w:t>
      </w:r>
      <w:r>
        <w:t xml:space="preserve">documented in</w:t>
      </w:r>
      <w:r>
        <w:t xml:space="preserve"> </w:t>
      </w:r>
      <w:r>
        <w:t xml:space="preserve">B.1.1,</w:t>
      </w:r>
      <w:r>
        <w:t xml:space="preserve"> </w:t>
      </w:r>
      <w:r>
        <w:t xml:space="preserve">where TIC 3.0, Zero Trust, and FedRAMP 20x pull in genuinely different</w:t>
      </w:r>
      <w:r>
        <w:t xml:space="preserve"> </w:t>
      </w:r>
      <w:r>
        <w:t xml:space="preserve">directions. Both assessors report symptoms of that conflict as separate</w:t>
      </w:r>
      <w:r>
        <w:t xml:space="preserve"> </w:t>
      </w:r>
      <w:r>
        <w:t xml:space="preserve">findings; neither identifies the conflict as structural, because that is not</w:t>
      </w:r>
      <w:r>
        <w:t xml:space="preserve"> </w:t>
      </w:r>
      <w:r>
        <w:t xml:space="preserve">what a conformance check does.</w:t>
      </w:r>
    </w:p>
    <w:p>
      <w:pPr>
        <w:pStyle w:val="FirstParagraph"/>
      </w:pPr>
      <w:r>
        <w:t xml:space="preserve">BOD 25-01’s own</w:t>
      </w:r>
      <w:r>
        <w:t xml:space="preserve"> </w:t>
      </w:r>
      <w:r>
        <w:t xml:space="preserve">“remediate deviations”</w:t>
      </w:r>
      <w:r>
        <w:t xml:space="preserve"> </w:t>
      </w:r>
      <w:r>
        <w:t xml:space="preserve">clause presumes an agency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remediate — that there is an architecture capable of absorbing the fix. Where</w:t>
      </w:r>
      <w:r>
        <w:t xml:space="preserve"> </w:t>
      </w:r>
      <w:r>
        <w:t xml:space="preserve">that architecture does not yet exist,</w:t>
      </w:r>
      <w:r>
        <w:t xml:space="preserve"> </w:t>
      </w:r>
      <w:r>
        <w:t xml:space="preserve">“remediate”</w:t>
      </w:r>
      <w:r>
        <w:t xml:space="preserve"> </w:t>
      </w:r>
      <w:r>
        <w:t xml:space="preserve">collapses into</w:t>
      </w:r>
      <w:r>
        <w:t xml:space="preserve"> </w:t>
      </w:r>
      <w:r>
        <w:t xml:space="preserve">“re-run the</w:t>
      </w:r>
      <w:r>
        <w:t xml:space="preserve"> </w:t>
      </w:r>
      <w:r>
        <w:t xml:space="preserve">scan and file another POA&amp;M line,”</w:t>
      </w:r>
      <w:r>
        <w:t xml:space="preserve"> </w:t>
      </w:r>
      <w:r>
        <w:t xml:space="preserve">which is compliance theater dressed as</w:t>
      </w:r>
      <w:r>
        <w:t xml:space="preserve"> </w:t>
      </w:r>
      <w:r>
        <w:t xml:space="preserve">continuous monitoring.</w:t>
      </w:r>
    </w:p>
    <w:bookmarkEnd w:id="21"/>
    <w:bookmarkStart w:id="25" w:name="X1bf15bdf69a6a77c659712c3bff27ef0c76d8a9"/>
    <w:p>
      <w:pPr>
        <w:pStyle w:val="Heading3"/>
      </w:pPr>
      <w:r>
        <w:t xml:space="preserve">3. The coverage arithmetic — why</w:t>
      </w:r>
      <w:r>
        <w:t xml:space="preserve"> </w:t>
      </w:r>
      <w:r>
        <w:t xml:space="preserve">“just run the assessor”</w:t>
      </w:r>
      <w:r>
        <w:t xml:space="preserve"> </w:t>
      </w:r>
      <w:r>
        <w:t xml:space="preserve">undercounts the work</w:t>
      </w:r>
    </w:p>
    <w:p>
      <w:pPr>
        <w:pStyle w:val="FirstParagraph"/>
      </w:pPr>
      <w:r>
        <w:t xml:space="preserve">The Federal Compliance series quantifies this gap</w:t>
      </w:r>
      <w:r>
        <w:t xml:space="preserve"> </w:t>
      </w:r>
      <w:r>
        <w:t xml:space="preserve">against FedRAMP 20x’s Key Security Indicators, in the section</w:t>
      </w:r>
      <w:r>
        <w:t xml:space="preserve"> </w:t>
      </w:r>
      <w:r>
        <w:t xml:space="preserve">“Why This Series — Not SCuBA, ZTTT, or Any Single-Vendor Assessment</w:t>
      </w:r>
      <w:r>
        <w:t xml:space="preserve"> </w:t>
      </w:r>
      <w:r>
        <w:t xml:space="preserve">Tool”</w:t>
      </w:r>
      <w:r>
        <w:t xml:space="preserve"> </w:t>
      </w:r>
      <w:r>
        <w:t xml:space="preserve">of Book</w:t>
      </w:r>
      <w:r>
        <w:t xml:space="preserve"> </w:t>
      </w:r>
      <w:r>
        <w:t xml:space="preserve">00. The arithmetic generalizes directly to the BOD-25-01 case:</w:t>
      </w:r>
    </w:p>
    <w:p>
      <w:pPr>
        <w:pStyle w:val="BodyText"/>
      </w:pPr>
      <w:r>
        <w:rPr>
          <w:b/>
          <w:bCs/>
        </w:rPr>
        <w:t xml:space="preserve">SCuBA-based rules attest 10 of 29 rules in the series’ internal KSI</w:t>
      </w:r>
      <w:r>
        <w:rPr>
          <w:b/>
          <w:bCs/>
        </w:rPr>
        <w:t xml:space="preserve"> </w:t>
      </w:r>
      <w:r>
        <w:rPr>
          <w:b/>
          <w:bCs/>
        </w:rPr>
        <w:t xml:space="preserve">decomposition (KSI-001 through KSI-010)</w:t>
      </w:r>
      <w:r>
        <w:t xml:space="preserve"> </w:t>
      </w:r>
      <w:r>
        <w:t xml:space="preserve">— exactly the rules that reduce to</w:t>
      </w:r>
      <w:r>
        <w:t xml:space="preserve"> </w:t>
      </w:r>
      <w:r>
        <w:t xml:space="preserve">M365 tenant configuration state, which is exactly the surface ScubaGear</w:t>
      </w:r>
      <w:r>
        <w:t xml:space="preserve"> </w:t>
      </w:r>
      <w:r>
        <w:t xml:space="preserve">measures.</w:t>
      </w:r>
      <w:r>
        <w:t xml:space="preserve"> </w:t>
      </w:r>
      <w:r>
        <w:rPr>
          <w:b/>
          <w:bCs/>
        </w:rPr>
        <w:t xml:space="preserve">The other 19 exist as evaluable rules only because architecture</w:t>
      </w:r>
      <w:r>
        <w:rPr>
          <w:b/>
          <w:bCs/>
        </w:rPr>
        <w:t xml:space="preserve"> </w:t>
      </w:r>
      <w:r>
        <w:rPr>
          <w:b/>
          <w:bCs/>
        </w:rPr>
        <w:t xml:space="preserve">was built underneath them</w:t>
      </w:r>
      <w:r>
        <w:t xml:space="preserve"> </w:t>
      </w:r>
      <w:r>
        <w:t xml:space="preserve">— SBOM/VEX supply-chain evidence, privacy</w:t>
      </w:r>
      <w:r>
        <w:t xml:space="preserve"> </w:t>
      </w:r>
      <w:r>
        <w:t xml:space="preserve">data-flow mapping, training-effectiveness records, incident-response and</w:t>
      </w:r>
      <w:r>
        <w:t xml:space="preserve"> </w:t>
      </w:r>
      <w:r>
        <w:t xml:space="preserve">continuity architecture. No amount of running ScubaGear or the Zero Trust</w:t>
      </w:r>
      <w:r>
        <w:t xml:space="preserve"> </w:t>
      </w:r>
      <w:r>
        <w:t xml:space="preserve">Assessment more often produces evidence for those 19. They are not</w:t>
      </w:r>
      <w:r>
        <w:t xml:space="preserve"> </w:t>
      </w:r>
      <w:r>
        <w:t xml:space="preserve">configuration-drift findings; they are architecture that has not yet been</w:t>
      </w:r>
      <w:r>
        <w:t xml:space="preserve"> </w:t>
      </w:r>
      <w:r>
        <w:t xml:space="preserve">built.</w:t>
      </w:r>
    </w:p>
    <w:p>
      <w:pPr>
        <w:pStyle w:val="BodyText"/>
      </w:pPr>
      <w:r>
        <w:t xml:space="preserve">The same shape holds for the BOD-25-01 remediation clause specifically: some</w:t>
      </w:r>
      <w:r>
        <w:t xml:space="preserve"> </w:t>
      </w:r>
      <w:r>
        <w:t xml:space="preserve">SCuBA deviations are one-line configuration flips an administrator can close</w:t>
      </w:r>
      <w:r>
        <w:t xml:space="preserve"> </w:t>
      </w:r>
      <w:r>
        <w:t xml:space="preserve">today. Others — legacy authentication still reachable because no phased</w:t>
      </w:r>
      <w:r>
        <w:t xml:space="preserve"> </w:t>
      </w:r>
      <w:r>
        <w:t xml:space="preserve">NTLM-elimination plan exists, or Conditional Access gaps that trace back to an</w:t>
      </w:r>
      <w:r>
        <w:t xml:space="preserve"> </w:t>
      </w:r>
      <w:r>
        <w:t xml:space="preserve">absent device-identity/NAC layer — are unclosable without the underlying</w:t>
      </w:r>
      <w:r>
        <w:t xml:space="preserve"> </w:t>
      </w:r>
      <w:r>
        <w:t xml:space="preserve">architecture. Treating both classes of finding identically, as</w:t>
      </w:r>
      <w:r>
        <w:t xml:space="preserve"> </w:t>
      </w:r>
      <w:r>
        <w:t xml:space="preserve">“ScubaGear</w:t>
      </w:r>
      <w:r>
        <w:t xml:space="preserve"> </w:t>
      </w:r>
      <w:r>
        <w:t xml:space="preserve">says fix it,”</w:t>
      </w:r>
      <w:r>
        <w:t xml:space="preserve"> </w:t>
      </w:r>
      <w:r>
        <w:t xml:space="preserve">is how a remediation backlog becomes permanent instead of</w:t>
      </w:r>
      <w:r>
        <w:t xml:space="preserve"> </w:t>
      </w:r>
      <w:r>
        <w:t xml:space="preserve">shrinking.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ILLUSTRATIVE — replace before external release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example, a</w:t>
            </w:r>
            <w:r>
              <w:t xml:space="preserve"> </w:t>
            </w:r>
            <w:r>
              <w:rPr>
                <w:rStyle w:val="VerbatimChar"/>
              </w:rPr>
              <w:t xml:space="preserve">MS.AAD.1.1v1</w:t>
            </w:r>
            <w:r>
              <w:t xml:space="preserve"> </w:t>
            </w:r>
            <w:r>
              <w:t xml:space="preserve">(</w:t>
            </w:r>
            <w:r>
              <w:t xml:space="preserve">“Legacy authentication SHALL be blocked”</w:t>
            </w:r>
            <w:r>
              <w:t xml:space="preserve">)</w:t>
            </w:r>
            <w:r>
              <w:t xml:space="preserve"> </w:t>
            </w:r>
            <w:r>
              <w:t xml:space="preserve">finding flagged in month</w:t>
            </w:r>
            <w:r>
              <w:t xml:space="preserve"> </w:t>
            </w:r>
            <w:r>
              <w:rPr>
                <w:rStyle w:val="VerbatimChar"/>
              </w:rPr>
              <w:t xml:space="preserve">[N]</w:t>
            </w:r>
            <w:r>
              <w:t xml:space="preserve"> </w:t>
            </w:r>
            <w:r>
              <w:t xml:space="preserve">remained open for</w:t>
            </w:r>
            <w:r>
              <w:t xml:space="preserve"> </w:t>
            </w:r>
            <w:r>
              <w:rPr>
                <w:rStyle w:val="VerbatimChar"/>
              </w:rPr>
              <w:t xml:space="preserve">[X]</w:t>
            </w:r>
            <w:r>
              <w:t xml:space="preserve"> </w:t>
            </w:r>
            <w:r>
              <w:t xml:space="preserve">months under</w:t>
            </w:r>
            <w:r>
              <w:t xml:space="preserve"> </w:t>
            </w:r>
            <w:r>
              <w:t xml:space="preserve">scan-only operation — repeated re-scans, no remediation owner — before</w:t>
            </w:r>
            <w:r>
              <w:t xml:space="preserve"> </w:t>
            </w:r>
            <w:r>
              <w:t xml:space="preserve">being closed in</w:t>
            </w:r>
            <w:r>
              <w:t xml:space="preserve"> </w:t>
            </w:r>
            <w:r>
              <w:rPr>
                <w:rStyle w:val="VerbatimChar"/>
              </w:rPr>
              <w:t xml:space="preserve">[Y]</w:t>
            </w:r>
            <w:r>
              <w:t xml:space="preserve"> </w:t>
            </w:r>
            <w:r>
              <w:t xml:space="preserve">weeks once routed through the phased</w:t>
            </w:r>
            <w:r>
              <w:t xml:space="preserve"> </w:t>
            </w:r>
            <w:r>
              <w:t xml:space="preserve">remediate-then-assess sequence in §4.</w:t>
            </w:r>
          </w:p>
          <w:p/>
        </w:tc>
      </w:tr>
    </w:tbl>
    <w:bookmarkEnd w:id="25"/>
    <w:bookmarkStart w:id="26" w:name="X2e711593b025241db4991a627e05ec2790e4a6e"/>
    <w:p>
      <w:pPr>
        <w:pStyle w:val="Heading3"/>
      </w:pPr>
      <w:r>
        <w:t xml:space="preserve">4. The correct sequence: architecture before assessment</w:t>
      </w:r>
    </w:p>
    <w:p>
      <w:pPr>
        <w:pStyle w:val="FirstParagraph"/>
      </w:pPr>
      <w:r>
        <w:t xml:space="preserve">the compliance series’s modernization sequence — Understand, Design, Implement, Govern,</w:t>
      </w:r>
      <w:r>
        <w:t xml:space="preserve"> </w:t>
      </w:r>
      <w:r>
        <w:rPr>
          <w:b/>
          <w:bCs/>
        </w:rPr>
        <w:t xml:space="preserve">Validate</w:t>
      </w:r>
      <w:r>
        <w:t xml:space="preserve">, Authorize — deliberately places assessment tools at step five,</w:t>
      </w:r>
      <w:r>
        <w:t xml:space="preserve"> </w:t>
      </w:r>
      <w:r>
        <w:t xml:space="preserve">not step one: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  <w:tc>
          <w:tcPr/>
          <w:p>
            <w:pPr>
              <w:pStyle w:val="Compact"/>
            </w:pPr>
            <w:r>
              <w:t xml:space="preserve">Where assessment tools fit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— Understand</w:t>
            </w:r>
          </w:p>
        </w:tc>
        <w:tc>
          <w:tcPr/>
          <w:p>
            <w:pPr>
              <w:pStyle w:val="Compact"/>
            </w:pPr>
            <w:r>
              <w:t xml:space="preserve">Identify gaps and root causes against the target control set (including the SCuBA SCBs and Zero Trust pillars)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Not yet run</w:t>
            </w:r>
            <w:r>
              <w:t xml:space="preserve"> </w:t>
            </w:r>
            <w:r>
              <w:t xml:space="preserve">— running an assessor here just produces an unowned findings 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— Design</w:t>
            </w:r>
          </w:p>
        </w:tc>
        <w:tc>
          <w:tcPr/>
          <w:p>
            <w:pPr>
              <w:pStyle w:val="Compact"/>
            </w:pPr>
            <w:r>
              <w:t xml:space="preserve">Select the architectural pattern that closes each gap with continuous evidence (DDI/PKI grid, NAC, Entra CBA, Conditional Access design)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Not yet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— Implement</w:t>
            </w:r>
          </w:p>
        </w:tc>
        <w:tc>
          <w:tcPr/>
          <w:p>
            <w:pPr>
              <w:pStyle w:val="Compact"/>
            </w:pPr>
            <w:r>
              <w:t xml:space="preserve">Execute the runbooks, deploy the infrastructure, configure the integrations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Not yet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— Govern</w:t>
            </w:r>
          </w:p>
        </w:tc>
        <w:tc>
          <w:tcPr/>
          <w:p>
            <w:pPr>
              <w:pStyle w:val="Compact"/>
            </w:pPr>
            <w:r>
              <w:t xml:space="preserve">Establish SCRM, POA&amp;M, ISPP, and RACI structures to own what gets built</w:t>
            </w:r>
          </w:p>
        </w:tc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Not yet run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 — Validate</w:t>
            </w:r>
          </w:p>
        </w:tc>
        <w:tc>
          <w:tcPr/>
          <w:p>
            <w:pPr>
              <w:pStyle w:val="Compact"/>
            </w:pPr>
            <w:r>
              <w:t xml:space="preserve">Confirm the built architecture produces the compliance state it was designed to produce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ScubaGear and the Zero Trust Assessment run here — as confirmation, not discovery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— Authorize</w:t>
            </w:r>
          </w:p>
        </w:tc>
        <w:tc>
          <w:tcPr/>
          <w:p>
            <w:pPr>
              <w:pStyle w:val="Compact"/>
            </w:pPr>
            <w:r>
              <w:t xml:space="preserve">Submit KSI-ready, machine-readable evidence to FedRAMP 20x evaluators</w:t>
            </w:r>
          </w:p>
        </w:tc>
        <w:tc>
          <w:tcPr/>
          <w:p>
            <w:pPr>
              <w:pStyle w:val="Compact"/>
            </w:pPr>
            <w:r>
              <w:t xml:space="preserve">Continuous ScubaGear/ZTTT evidence feeds the OSCAL bundle</w:t>
            </w:r>
          </w:p>
        </w:tc>
      </w:tr>
    </w:tbl>
    <w:p>
      <w:pPr>
        <w:pStyle w:val="BodyText"/>
      </w:pPr>
      <w:r>
        <w:t xml:space="preserve">An agency that runs ScubaGear before phase 2 is, in the series’ words,</w:t>
      </w:r>
      <w:r>
        <w:t xml:space="preserve"> </w:t>
      </w:r>
      <w:r>
        <w:t xml:space="preserve">“reading a thermometer before the treatment plan exists.”</w:t>
      </w:r>
      <w:r>
        <w:t xml:space="preserve"> </w:t>
      </w:r>
      <w:r>
        <w:t xml:space="preserve">The findings are</w:t>
      </w:r>
      <w:r>
        <w:t xml:space="preserve"> </w:t>
      </w:r>
      <w:r>
        <w:t xml:space="preserve">accurate. There is no framework yet to act on them coherently, so they</w:t>
      </w:r>
      <w:r>
        <w:t xml:space="preserve"> </w:t>
      </w:r>
      <w:r>
        <w:t xml:space="preserve">accumulate as a list of point fixes that never add up to a defensible,</w:t>
      </w:r>
      <w:r>
        <w:t xml:space="preserve"> </w:t>
      </w:r>
      <w:r>
        <w:t xml:space="preserve">integrated posture — and BOD-25-01’s continuous-reporting feed just reports</w:t>
      </w:r>
      <w:r>
        <w:t xml:space="preserve"> </w:t>
      </w:r>
      <w:r>
        <w:t xml:space="preserve">that accumulation to CISA faithfully, on schedule, forever.</w:t>
      </w:r>
    </w:p>
    <w:bookmarkEnd w:id="26"/>
    <w:bookmarkStart w:id="27" w:name="Xbcafdffecdc707d24e4741dae18323be54c74f2"/>
    <w:p>
      <w:pPr>
        <w:pStyle w:val="Heading3"/>
      </w:pPr>
      <w:r>
        <w:t xml:space="preserve">5. Closing findings first — what</w:t>
      </w:r>
      <w:r>
        <w:t xml:space="preserve"> </w:t>
      </w:r>
      <w:r>
        <w:t xml:space="preserve">“architecture”</w:t>
      </w:r>
      <w:r>
        <w:t xml:space="preserve"> </w:t>
      </w:r>
      <w:r>
        <w:t xml:space="preserve">concretely means here</w:t>
      </w:r>
    </w:p>
    <w:p>
      <w:pPr>
        <w:pStyle w:val="FirstParagraph"/>
      </w:pPr>
      <w:r>
        <w:t xml:space="preserve">For the specific surface BOD-25-01 governs (M365 / Entra), closing findings</w:t>
      </w:r>
      <w:r>
        <w:t xml:space="preserve"> </w:t>
      </w:r>
      <w:r>
        <w:t xml:space="preserve">before assessing means building, in this order, the layers a SCuBA deviation</w:t>
      </w:r>
      <w:r>
        <w:t xml:space="preserve"> </w:t>
      </w:r>
      <w:r>
        <w:t xml:space="preserve">or a ZTTT maturity gap actually depends on: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Naming and addressing (DDI/PKI).</w:t>
      </w:r>
      <w:r>
        <w:t xml:space="preserve"> </w:t>
      </w:r>
      <w:r>
        <w:t xml:space="preserve">DNSSEC, certificate issuance, and</w:t>
      </w:r>
      <w:r>
        <w:t xml:space="preserve"> </w:t>
      </w:r>
      <w:r>
        <w:t xml:space="preserve">several SCuBA network-adjacent checks are unenforceable without a</w:t>
      </w:r>
      <w:r>
        <w:t xml:space="preserve"> </w:t>
      </w:r>
      <w:r>
        <w:t xml:space="preserve">functioning DDI/IPAM grid and certificate lifecycle underneath them.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Device and workload identity (NAC, Entra CBA, managed identity).</w:t>
      </w:r>
      <w:r>
        <w:t xml:space="preserve"> </w:t>
      </w:r>
      <w:r>
        <w:t xml:space="preserve">The Conditional Access policy set SCuBA checks for, and the identity-pillar</w:t>
      </w:r>
      <w:r>
        <w:t xml:space="preserve"> </w:t>
      </w:r>
      <w:r>
        <w:t xml:space="preserve">maturity ZTTT scores, both assume devices and workloads carry verifiable</w:t>
      </w:r>
      <w:r>
        <w:t xml:space="preserve"> </w:t>
      </w:r>
      <w:r>
        <w:t xml:space="preserve">identity — which requires 802.1X/NAC on the network side and</w:t>
      </w:r>
      <w:r>
        <w:t xml:space="preserve"> </w:t>
      </w:r>
      <w:r>
        <w:t xml:space="preserve">certificate-based auth or Arc managed identity on the workload side.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Legacy-authentication elimination.</w:t>
      </w:r>
      <w:r>
        <w:t xml:space="preserve"> </w:t>
      </w:r>
      <w:r>
        <w:t xml:space="preserve">A phased NTLM/legacy-auth</w:t>
      </w:r>
      <w:r>
        <w:t xml:space="preserve"> </w:t>
      </w:r>
      <w:r>
        <w:t xml:space="preserve">elimination sequence, not a single Conditional Access toggle, is what</w:t>
      </w:r>
      <w:r>
        <w:t xml:space="preserve"> </w:t>
      </w:r>
      <w:r>
        <w:t xml:space="preserve">actually closes the SCuBA and ZTTT findings that reference legacy</w:t>
      </w:r>
      <w:r>
        <w:t xml:space="preserve"> </w:t>
      </w:r>
      <w:r>
        <w:t xml:space="preserve">protocols — flipping the toggle without the elimination plan just breaks</w:t>
      </w:r>
      <w:r>
        <w:t xml:space="preserve"> </w:t>
      </w:r>
      <w:r>
        <w:t xml:space="preserve">access for whatever still depends on the legacy path.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Governance of exceptions.</w:t>
      </w:r>
      <w:r>
        <w:t xml:space="preserve"> </w:t>
      </w:r>
      <w:r>
        <w:t xml:space="preserve">Not every deviation is closable immediately.</w:t>
      </w:r>
      <w:r>
        <w:t xml:space="preserve"> </w:t>
      </w:r>
      <w:r>
        <w:t xml:space="preserve">BOD-25-01 remediation does not mean zero deviations at all times; it means</w:t>
      </w:r>
      <w:r>
        <w:t xml:space="preserve"> </w:t>
      </w:r>
      <w:r>
        <w:t xml:space="preserve">every open deviation is either being actively remediated or is a</w:t>
      </w:r>
      <w:r>
        <w:t xml:space="preserve"> </w:t>
      </w:r>
      <w:r>
        <w:t xml:space="preserve">documented, dated, owned risk-acceptance — never a silent gap.</w:t>
      </w:r>
    </w:p>
    <w:p>
      <w:pPr>
        <w:pStyle w:val="FirstParagraph"/>
      </w:pPr>
      <w:r>
        <w:t xml:space="preserve">Only once these layers exist does</w:t>
      </w:r>
      <w:r>
        <w:t xml:space="preserve"> </w:t>
      </w:r>
      <w:r>
        <w:t xml:space="preserve">“remediate deviations”</w:t>
      </w:r>
      <w:r>
        <w:t xml:space="preserve"> </w:t>
      </w:r>
      <w:r>
        <w:t xml:space="preserve">become a bounded,</w:t>
      </w:r>
      <w:r>
        <w:t xml:space="preserve"> </w:t>
      </w:r>
      <w:r>
        <w:t xml:space="preserve">completable task instead of an open-ended chase.</w:t>
      </w:r>
    </w:p>
    <w:bookmarkEnd w:id="27"/>
    <w:bookmarkStart w:id="28" w:name="X5703d6df375feb167848aa8d5d19302e3836f0a"/>
    <w:p>
      <w:pPr>
        <w:pStyle w:val="Heading3"/>
      </w:pPr>
      <w:r>
        <w:t xml:space="preserve">6. Then assess — continuously, because the directive requires it</w:t>
      </w:r>
    </w:p>
    <w:p>
      <w:pPr>
        <w:pStyle w:val="FirstParagraph"/>
      </w:pPr>
      <w:r>
        <w:t xml:space="preserve">BOD-25-01’s continuous-reporting obligation is not satisfied by re-running</w:t>
      </w:r>
      <w:r>
        <w:t xml:space="preserve"> </w:t>
      </w:r>
      <w:r>
        <w:t xml:space="preserve">ScubaGear manually before an audit. It requires exactly what a point-in-time</w:t>
      </w:r>
      <w:r>
        <w:t xml:space="preserve"> </w:t>
      </w:r>
      <w:r>
        <w:t xml:space="preserve">scan cannot provide on its own: a durable run-to-run record, aging of open</w:t>
      </w:r>
      <w:r>
        <w:t xml:space="preserve"> </w:t>
      </w:r>
      <w:r>
        <w:t xml:space="preserve">deviations against a remediation SLA, and a clean signal for</w:t>
      </w:r>
      <w:r>
        <w:t xml:space="preserve"> </w:t>
      </w:r>
      <w:r>
        <w:t xml:space="preserve">“this deviation</w:t>
      </w:r>
      <w:r>
        <w:t xml:space="preserve"> </w:t>
      </w:r>
      <w:r>
        <w:t xml:space="preserve">is newly introduced”</w:t>
      </w:r>
      <w:r>
        <w:t xml:space="preserve"> </w:t>
      </w:r>
      <w:r>
        <w:t xml:space="preserve">versus</w:t>
      </w:r>
      <w:r>
        <w:t xml:space="preserve"> </w:t>
      </w:r>
      <w:r>
        <w:t xml:space="preserve">“this deviation is a known, governed exception.”</w:t>
      </w:r>
      <w:r>
        <w:t xml:space="preserve"> </w:t>
      </w:r>
      <w:r>
        <w:t xml:space="preserve">FMP’s toolkit builds that layer directly on top of the assessors’ output,</w:t>
      </w:r>
      <w:r>
        <w:t xml:space="preserve"> </w:t>
      </w:r>
      <w:r>
        <w:t xml:space="preserve">without reimplementing either assessor: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ScubaDrift</w:t>
      </w:r>
      <w:r>
        <w:t xml:space="preserve"> </w:t>
      </w:r>
      <w:r>
        <w:t xml:space="preserve">layers drift,</w:t>
      </w:r>
      <w:r>
        <w:t xml:space="preserve"> </w:t>
      </w:r>
      <w:r>
        <w:t xml:space="preserve">exception-lifecycle, and continuous-monitoring gating on top of ScubaGear’s</w:t>
      </w:r>
      <w:r>
        <w:t xml:space="preserve"> </w:t>
      </w:r>
      <w:r>
        <w:t xml:space="preserve">pass/fail policy verdicts.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ZTTTdrift</w:t>
      </w:r>
      <w:r>
        <w:t xml:space="preserve"> </w:t>
      </w:r>
      <w:r>
        <w:t xml:space="preserve">does the same for</w:t>
      </w:r>
      <w:r>
        <w:t xml:space="preserve"> </w:t>
      </w:r>
      <w:r>
        <w:t xml:space="preserve">Zero Trust maturity-stage assessments (Microsoft ZTTT / CISA ZTMM-style</w:t>
      </w:r>
      <w:r>
        <w:t xml:space="preserve"> </w:t>
      </w:r>
      <w:r>
        <w:t xml:space="preserve">self-assessments): it splits every below-target finding into</w:t>
      </w:r>
      <w:r>
        <w:t xml:space="preserve"> </w:t>
      </w:r>
      <w:r>
        <w:rPr>
          <w:b/>
          <w:bCs/>
        </w:rPr>
        <w:t xml:space="preserve">actionable new drift</w:t>
      </w:r>
      <w:r>
        <w:t xml:space="preserve">,</w:t>
      </w:r>
      <w:r>
        <w:t xml:space="preserve"> </w:t>
      </w:r>
      <w:r>
        <w:rPr>
          <w:b/>
          <w:bCs/>
        </w:rPr>
        <w:t xml:space="preserve">lapsed acceptance</w:t>
      </w:r>
      <w:r>
        <w:t xml:space="preserve">, or</w:t>
      </w:r>
      <w:r>
        <w:t xml:space="preserve"> </w:t>
      </w:r>
      <w:r>
        <w:rPr>
          <w:b/>
          <w:bCs/>
        </w:rPr>
        <w:t xml:space="preserve">governed exception</w:t>
      </w:r>
      <w:r>
        <w:t xml:space="preserve">,</w:t>
      </w:r>
      <w:r>
        <w:t xml:space="preserve"> </w:t>
      </w:r>
      <w:r>
        <w:t xml:space="preserve">flags retirable acceptances, computes run-to-run drift, and gates a</w:t>
      </w:r>
      <w:r>
        <w:t xml:space="preserve"> </w:t>
      </w:r>
      <w:r>
        <w:t xml:space="preserve">continuous-monitoring pipeline — exiting non-zero only when something is</w:t>
      </w:r>
      <w:r>
        <w:t xml:space="preserve"> </w:t>
      </w:r>
      <w:r>
        <w:t xml:space="preserve">genuinely unowned. Both tools are explicit about what they are not: neither</w:t>
      </w:r>
      <w:r>
        <w:t xml:space="preserve"> </w:t>
      </w:r>
      <w:r>
        <w:t xml:space="preserve">is an assessor, a maturity model, or a remediator. They stand on the</w:t>
      </w:r>
      <w:r>
        <w:t xml:space="preserve"> </w:t>
      </w:r>
      <w:r>
        <w:t xml:space="preserve">assessment tool’s output; they do not replace it or guess at its export</w:t>
      </w:r>
      <w:r>
        <w:t xml:space="preserve"> </w:t>
      </w:r>
      <w:r>
        <w:t xml:space="preserve">format.</w:t>
      </w:r>
    </w:p>
    <w:p>
      <w:pPr>
        <w:pStyle w:val="FirstParagraph"/>
      </w:pPr>
      <w:r>
        <w:t xml:space="preserve">This is the mechanism that turns BOD-25-01’s</w:t>
      </w:r>
      <w:r>
        <w:t xml:space="preserve"> </w:t>
      </w:r>
      <w:r>
        <w:t xml:space="preserve">“remediate deviations”</w:t>
      </w:r>
      <w:r>
        <w:t xml:space="preserve"> </w:t>
      </w:r>
      <w:r>
        <w:t xml:space="preserve">and</w:t>
      </w:r>
      <w:r>
        <w:t xml:space="preserve"> </w:t>
      </w:r>
      <w:r>
        <w:t xml:space="preserve">“continuous reporting”</w:t>
      </w:r>
      <w:r>
        <w:t xml:space="preserve"> </w:t>
      </w:r>
      <w:r>
        <w:t xml:space="preserve">clauses from a narrative claim into something a 3PAO</w:t>
      </w:r>
      <w:r>
        <w:t xml:space="preserve"> </w:t>
      </w:r>
      <w:r>
        <w:t xml:space="preserve">or CISA can independently verify: a deterministic, re-runnable disposition of</w:t>
      </w:r>
      <w:r>
        <w:t xml:space="preserve"> </w:t>
      </w:r>
      <w:r>
        <w:t xml:space="preserve">every open finding, dated, owned, and aging against an SLA.</w:t>
      </w:r>
      <w:r>
        <w:t xml:space="preserve"> </w:t>
      </w:r>
      <w:r>
        <w:t xml:space="preserve">Vol VII Book 02</w:t>
      </w:r>
      <w:r>
        <w:t xml:space="preserve"> </w:t>
      </w:r>
      <w:r>
        <w:t xml:space="preserve">of the the compliance series series documents the operating model that turns SCuBA baseline</w:t>
      </w:r>
      <w:r>
        <w:t xml:space="preserve"> </w:t>
      </w:r>
      <w:r>
        <w:t xml:space="preserve">drift specifically into typed remediation tasks with closure evidence — the</w:t>
      </w:r>
      <w:r>
        <w:t xml:space="preserve"> </w:t>
      </w:r>
      <w:r>
        <w:t xml:space="preserve">same pattern this whitepaper argues for at the directive level.</w:t>
      </w:r>
    </w:p>
    <w:bookmarkEnd w:id="28"/>
    <w:bookmarkStart w:id="29" w:name="honest-limits"/>
    <w:p>
      <w:pPr>
        <w:pStyle w:val="Heading3"/>
      </w:pPr>
      <w:r>
        <w:t xml:space="preserve">7. Honest limits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This is not a substitute for the directive’s own deadlines.</w:t>
      </w:r>
      <w:r>
        <w:t xml:space="preserve"> </w:t>
      </w:r>
      <w:r>
        <w:t xml:space="preserve">BOD-25-01’s</w:t>
      </w:r>
      <w:r>
        <w:t xml:space="preserve"> </w:t>
      </w:r>
      <w:r>
        <w:t xml:space="preserve">tenant-inventory and tool-deployment deadlines already passed</w:t>
      </w:r>
      <w:r>
        <w:t xml:space="preserve"> </w:t>
      </w:r>
      <w:r>
        <w:t xml:space="preserve">(Feb 21 and Apr 25, 2025, respectively). Nothing here changes those; the</w:t>
      </w:r>
      <w:r>
        <w:t xml:space="preserve"> </w:t>
      </w:r>
      <w:r>
        <w:t xml:space="preserve">sequencing argument applies to how an agency spends its</w:t>
      </w:r>
      <w:r>
        <w:t xml:space="preserve"> </w:t>
      </w:r>
      <w:r>
        <w:rPr>
          <w:i/>
          <w:iCs/>
        </w:rPr>
        <w:t xml:space="preserve">ongoing</w:t>
      </w:r>
      <w:r>
        <w:t xml:space="preserve"> </w:t>
      </w:r>
      <w:r>
        <w:t xml:space="preserve">remediation effort, not to whether it deploys ScubaGear in the first place.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Some deviations genuinely are one-line fixes.</w:t>
      </w:r>
      <w:r>
        <w:t xml:space="preserve"> </w:t>
      </w:r>
      <w:r>
        <w:t xml:space="preserve">Not every SCuBA or ZTTT</w:t>
      </w:r>
      <w:r>
        <w:t xml:space="preserve"> </w:t>
      </w:r>
      <w:r>
        <w:t xml:space="preserve">finding requires the architecture described in §5. The point is not</w:t>
      </w:r>
      <w:r>
        <w:t xml:space="preserve"> </w:t>
      </w:r>
      <w:r>
        <w:t xml:space="preserve">“never</w:t>
      </w:r>
      <w:r>
        <w:t xml:space="preserve"> </w:t>
      </w:r>
      <w:r>
        <w:t xml:space="preserve">fix anything until the architecture is done”</w:t>
      </w:r>
      <w:r>
        <w:t xml:space="preserve"> </w:t>
      </w:r>
      <w:r>
        <w:t xml:space="preserve">— it is</w:t>
      </w:r>
      <w:r>
        <w:t xml:space="preserve"> </w:t>
      </w:r>
      <w:r>
        <w:t xml:space="preserve">“don’t mistake the</w:t>
      </w:r>
      <w:r>
        <w:t xml:space="preserve"> </w:t>
      </w:r>
      <w:r>
        <w:t xml:space="preserve">scan for the fix,”</w:t>
      </w:r>
      <w:r>
        <w:t xml:space="preserve"> </w:t>
      </w:r>
      <w:r>
        <w:t xml:space="preserve">and to route findings to the right response (immediate</w:t>
      </w:r>
      <w:r>
        <w:t xml:space="preserve"> </w:t>
      </w:r>
      <w:r>
        <w:t xml:space="preserve">config change vs. architectural work vs. governed exception) rather than</w:t>
      </w:r>
      <w:r>
        <w:t xml:space="preserve"> </w:t>
      </w:r>
      <w:r>
        <w:t xml:space="preserve">treating all deviations as equally actionable.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ZTTT is not itself a BOD-25-01 requirement.</w:t>
      </w:r>
      <w:r>
        <w:t xml:space="preserve"> </w:t>
      </w:r>
      <w:r>
        <w:t xml:space="preserve">The directive names SCuBA</w:t>
      </w:r>
      <w:r>
        <w:t xml:space="preserve"> </w:t>
      </w:r>
      <w:r>
        <w:t xml:space="preserve">and ScubaGear specifically; ZTTT is a Microsoft-authored maturity assessment</w:t>
      </w:r>
      <w:r>
        <w:t xml:space="preserve"> </w:t>
      </w:r>
      <w:r>
        <w:t xml:space="preserve">many agencies run for broader Zero Trust posture. Conflating the two — or</w:t>
      </w:r>
      <w:r>
        <w:t xml:space="preserve"> </w:t>
      </w:r>
      <w:r>
        <w:t xml:space="preserve">assuming ZTTT coverage substitutes for SCuBA’s federal baseline, or vice</w:t>
      </w:r>
      <w:r>
        <w:t xml:space="preserve"> </w:t>
      </w:r>
      <w:r>
        <w:t xml:space="preserve">versa — reintroduces the gap the</w:t>
      </w:r>
      <w:r>
        <w:t xml:space="preserve"> </w:t>
      </w:r>
      <w:hyperlink r:id="rId20">
        <w:r>
          <w:rPr>
            <w:rStyle w:val="Hyperlink"/>
          </w:rPr>
          <w:t xml:space="preserve">ZTA/SCuBA relationship whitepaper</w:t>
        </w:r>
      </w:hyperlink>
      <w:r>
        <w:t xml:space="preserve"> </w:t>
      </w:r>
      <w:r>
        <w:t xml:space="preserve">exists to</w:t>
      </w:r>
      <w:r>
        <w:t xml:space="preserve"> </w:t>
      </w:r>
      <w:r>
        <w:t xml:space="preserve">close.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Coverage arithmetic (10 of 29) is the the compliance series series’ internal KSI</w:t>
      </w:r>
      <w:r>
        <w:rPr>
          <w:b/>
          <w:bCs/>
        </w:rPr>
        <w:t xml:space="preserve"> </w:t>
      </w:r>
      <w:r>
        <w:rPr>
          <w:b/>
          <w:bCs/>
        </w:rPr>
        <w:t xml:space="preserve">decomposition</w:t>
      </w:r>
      <w:r>
        <w:t xml:space="preserve">, not a FedRAMP-published figure. It is a useful proxy for</w:t>
      </w:r>
      <w:r>
        <w:t xml:space="preserve"> </w:t>
      </w:r>
      <w:r>
        <w:t xml:space="preserve">“how much of the target control set reduces to configuration state a</w:t>
      </w:r>
      <w:r>
        <w:t xml:space="preserve"> </w:t>
      </w:r>
      <w:r>
        <w:t xml:space="preserve">conformance tool can see,”</w:t>
      </w:r>
      <w:r>
        <w:t xml:space="preserve"> </w:t>
      </w:r>
      <w:r>
        <w:t xml:space="preserve">not a claim about any specific agency’s control</w:t>
      </w:r>
      <w:r>
        <w:t xml:space="preserve"> </w:t>
      </w:r>
      <w:r>
        <w:t xml:space="preserve">catalogue, which will vary.</w:t>
      </w:r>
    </w:p>
    <w:bookmarkEnd w:id="29"/>
    <w:bookmarkStart w:id="30" w:name="conclusion"/>
    <w:p>
      <w:pPr>
        <w:pStyle w:val="Heading3"/>
      </w:pPr>
      <w:r>
        <w:t xml:space="preserve">8. Conclusion</w:t>
      </w:r>
    </w:p>
    <w:p>
      <w:pPr>
        <w:pStyle w:val="FirstParagraph"/>
      </w:pPr>
      <w:r>
        <w:t xml:space="preserve">BOD-25-01 asks agencies to do two structurally different things: run an</w:t>
      </w:r>
      <w:r>
        <w:t xml:space="preserve"> </w:t>
      </w:r>
      <w:r>
        <w:t xml:space="preserve">assessor, and remediate what it finds. ScubaGear and Microsoft’s Zero Trust</w:t>
      </w:r>
      <w:r>
        <w:t xml:space="preserve"> </w:t>
      </w:r>
      <w:r>
        <w:t xml:space="preserve">Assessment do the first job well — they are accurate, read-only, and</w:t>
      </w:r>
      <w:r>
        <w:t xml:space="preserve"> </w:t>
      </w:r>
      <w:r>
        <w:t xml:space="preserve">increasingly continuous. Neither does, or is designed to do, the second.</w:t>
      </w:r>
      <w:r>
        <w:t xml:space="preserve"> </w:t>
      </w:r>
      <w:r>
        <w:t xml:space="preserve">Confusing</w:t>
      </w:r>
      <w:r>
        <w:t xml:space="preserve"> </w:t>
      </w:r>
      <w:r>
        <w:t xml:space="preserve">“the scan is running”</w:t>
      </w:r>
      <w:r>
        <w:t xml:space="preserve"> </w:t>
      </w:r>
      <w:r>
        <w:t xml:space="preserve">with</w:t>
      </w:r>
      <w:r>
        <w:t xml:space="preserve"> </w:t>
      </w:r>
      <w:r>
        <w:t xml:space="preserve">“the finding is closed”</w:t>
      </w:r>
      <w:r>
        <w:t xml:space="preserve"> </w:t>
      </w:r>
      <w:r>
        <w:t xml:space="preserve">produces a</w:t>
      </w:r>
      <w:r>
        <w:t xml:space="preserve"> </w:t>
      </w:r>
      <w:r>
        <w:t xml:space="preserve">compliant-looking reporting feed sitting on top of an unclosed, growing</w:t>
      </w:r>
      <w:r>
        <w:t xml:space="preserve"> </w:t>
      </w:r>
      <w:r>
        <w:t xml:space="preserve">remediation backlog — technically satisfying rows one through four of the</w:t>
      </w:r>
      <w:r>
        <w:t xml:space="preserve"> </w:t>
      </w:r>
      <w:r>
        <w:t xml:space="preserve">directive while quietly failing row five.</w:t>
      </w:r>
    </w:p>
    <w:p>
      <w:pPr>
        <w:pStyle w:val="BodyText"/>
      </w:pPr>
      <w:r>
        <w:t xml:space="preserve">The order that actually satisfies BOD-25-01 — architecture, then assessment,</w:t>
      </w:r>
      <w:r>
        <w:t xml:space="preserve"> </w:t>
      </w:r>
      <w:r>
        <w:t xml:space="preserve">then continuous re-assessment — is the same order the compliance series’s six-phase</w:t>
      </w:r>
      <w:r>
        <w:t xml:space="preserve"> </w:t>
      </w:r>
      <w:r>
        <w:t xml:space="preserve">modernization sequence has argued for since Book 00: build the thing that</w:t>
      </w:r>
      <w:r>
        <w:t xml:space="preserve"> </w:t>
      </w:r>
      <w:r>
        <w:t xml:space="preserve">closes the gap, then measure that it’s closed, then keep measuring. Run in</w:t>
      </w:r>
      <w:r>
        <w:t xml:space="preserve"> </w:t>
      </w:r>
      <w:r>
        <w:t xml:space="preserve">that order, ScubaGear and ZTTT stop being a list of open findings and become</w:t>
      </w:r>
      <w:r>
        <w:t xml:space="preserve"> </w:t>
      </w:r>
      <w:r>
        <w:t xml:space="preserve">what the directive actually intended them to be: continuous, independently</w:t>
      </w:r>
      <w:r>
        <w:t xml:space="preserve"> </w:t>
      </w:r>
      <w:r>
        <w:t xml:space="preserve">verifiable proof that a real architecture is holding.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sv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hyperlink" Id="rId12" Target="https://cyber.dhs.gov/bod/25-01/" TargetMode="External" /><Relationship Type="http://schemas.openxmlformats.org/officeDocument/2006/relationships/hyperlink" Id="rId19" Target="scubagear-integration-whitepaper.md" TargetMode="External" /><Relationship Type="http://schemas.openxmlformats.org/officeDocument/2006/relationships/hyperlink" Id="rId20" Target="zta-scuba-relationship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cyber.dhs.gov/bod/25-01/" TargetMode="External" /><Relationship Type="http://schemas.openxmlformats.org/officeDocument/2006/relationships/hyperlink" Id="rId19" Target="scubagear-integration-whitepaper.md" TargetMode="External" /><Relationship Type="http://schemas.openxmlformats.org/officeDocument/2006/relationships/hyperlink" Id="rId20" Target="zta-scuba-relationship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Tools vs. Closing BOD-25-01 Findings</dc:title>
  <dc:creator>Michael Stratton</dc:creator>
  <cp:keywords/>
  <dcterms:created xsi:type="dcterms:W3CDTF">2026-10-19T10:11:43Z</dcterms:created>
  <dcterms:modified xsi:type="dcterms:W3CDTF">2026-10-19T10:11:43Z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reference">
    <vt:lpwstr/>
  </property>
  <property fmtid="{D5CDD505-2E9C-101B-9397-08002B2CF9AE}" pid="7" name="canon-source">
    <vt:lpwstr>src/fmp/canon/adapter-registry.yaml#scubagear</vt:lpwstr>
  </property>
  <property fmtid="{D5CDD505-2E9C-101B-9397-08002B2CF9AE}" pid="8" name="created-at">
    <vt:lpwstr>2026-07-31</vt:lpwstr>
  </property>
  <property fmtid="{D5CDD505-2E9C-101B-9397-08002B2CF9AE}" pid="9" name="date">
    <vt:lpwstr>2026-07-01</vt:lpwstr>
  </property>
  <property fmtid="{D5CDD505-2E9C-101B-9397-08002B2CF9AE}" pid="10" name="derived-from">
    <vt:lpwstr>fmp canon</vt:lpwstr>
  </property>
  <property fmtid="{D5CDD505-2E9C-101B-9397-08002B2CF9AE}" pid="11" name="doc-type">
    <vt:lpwstr>whitepaper</vt:lpwstr>
  </property>
  <property fmtid="{D5CDD505-2E9C-101B-9397-08002B2CF9AE}" pid="12" name="header-includes">
    <vt:lpwstr/>
  </property>
  <property fmtid="{D5CDD505-2E9C-101B-9397-08002B2CF9AE}" pid="13" name="include-after">
    <vt:lpwstr/>
  </property>
  <property fmtid="{D5CDD505-2E9C-101B-9397-08002B2CF9AE}" pid="14" name="include-before">
    <vt:lpwstr/>
  </property>
  <property fmtid="{D5CDD505-2E9C-101B-9397-08002B2CF9AE}" pid="15" name="labels">
    <vt:lpwstr/>
  </property>
  <property fmtid="{D5CDD505-2E9C-101B-9397-08002B2CF9AE}" pid="16" name="lifecycle">
    <vt:lpwstr>adopted</vt:lpwstr>
  </property>
  <property fmtid="{D5CDD505-2E9C-101B-9397-08002B2CF9AE}" pid="17" name="lifecycle_review">
    <vt:lpwstr>2027-01-31</vt:lpwstr>
  </property>
  <property fmtid="{D5CDD505-2E9C-101B-9397-08002B2CF9AE}" pid="18" name="status">
    <vt:lpwstr>Active</vt:lpwstr>
  </property>
  <property fmtid="{D5CDD505-2E9C-101B-9397-08002B2CF9AE}" pid="19" name="subtitle">
    <vt:lpwstr>Why the order — remediate, then assess — is the difference between a compliance posture and a growing deviation list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2026-09-16</vt:lpwstr>
  </property>
  <property fmtid="{D5CDD505-2E9C-101B-9397-08002B2CF9AE}" pid="23" name="version">
    <vt:lpwstr>1.2</vt:lpwstr>
  </property>
</Properties>
</file>