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table-of-contents"/>
    <w:p>
      <w:pPr>
        <w:pStyle w:val="Heading1"/>
      </w:pPr>
      <w:r>
        <w:t xml:space="preserve">Table of Contents</w:t>
      </w:r>
    </w:p>
    <w:p>
      <w:pPr>
        <w:pStyle w:val="FirstParagraph"/>
      </w:pPr>
      <w:r>
        <w:rPr>
          <w:b/>
          <w:bCs/>
        </w:rPr>
        <w:t xml:space="preserve">Status and scope.</w:t>
      </w:r>
      <w:r>
        <w:t xml:space="preserve"> </w:t>
      </w:r>
      <w:r>
        <w:t xml:space="preserve">This is independent technical analysis by the</w:t>
      </w:r>
      <w:r>
        <w:t xml:space="preserve"> </w:t>
      </w:r>
      <w:r>
        <w:t xml:space="preserve">author. It is not an agency position, has not been reviewed or endorsed</w:t>
      </w:r>
      <w:r>
        <w:t xml:space="preserve"> </w:t>
      </w:r>
      <w:r>
        <w:t xml:space="preserve">by any agency, and carries no agency markings. Policy and product</w:t>
      </w:r>
      <w:r>
        <w:t xml:space="preserve"> </w:t>
      </w:r>
      <w:r>
        <w:t xml:space="preserve">statements are current as of 3 September 2026; §10 records the</w:t>
      </w:r>
      <w:r>
        <w:t xml:space="preserve"> </w:t>
      </w:r>
      <w:r>
        <w:t xml:space="preserve">verification status of every external claim, including four that could</w:t>
      </w:r>
      <w:r>
        <w:t xml:space="preserve"> </w:t>
      </w:r>
      <w:r>
        <w:t xml:space="preserve">not be confirmed and are marked as such.</w:t>
      </w:r>
    </w:p>
    <w:p>
      <w:pPr>
        <w:pStyle w:val="BodyText"/>
      </w:pPr>
      <w:r>
        <w:rPr>
          <w:b/>
          <w:bCs/>
        </w:rPr>
        <w:t xml:space="preserve">How this version differs from v1.0.</w:t>
      </w:r>
      <w:r>
        <w:t xml:space="preserve"> </w:t>
      </w:r>
      <w:r>
        <w:t xml:space="preserve">Version 1.0 (September 2026)</w:t>
      </w:r>
      <w:r>
        <w:t xml:space="preserve"> </w:t>
      </w:r>
      <w:r>
        <w:t xml:space="preserve">contained factual errors serious enough to invalidate three of its five</w:t>
      </w:r>
      <w:r>
        <w:t xml:space="preserve"> </w:t>
      </w:r>
      <w:r>
        <w:t xml:space="preserve">findings. This version corrects them. Appendix A lists every change and</w:t>
      </w:r>
      <w:r>
        <w:t xml:space="preserve"> </w:t>
      </w:r>
      <w:r>
        <w:t xml:space="preserve">why it was made. The three most consequential: v1.0 defined</w:t>
      </w:r>
      <w:r>
        <w:t xml:space="preserve"> </w:t>
      </w:r>
      <w:r>
        <w:t xml:space="preserve">“DIA”</w:t>
      </w:r>
      <w:r>
        <w:t xml:space="preserve"> </w:t>
      </w:r>
      <w:r>
        <w:t xml:space="preserve">as a</w:t>
      </w:r>
      <w:r>
        <w:t xml:space="preserve"> </w:t>
      </w:r>
      <w:r>
        <w:t xml:space="preserve">Defense Information Systems Agency circuit (it is Direct Internet</w:t>
      </w:r>
      <w:r>
        <w:t xml:space="preserve"> </w:t>
      </w:r>
      <w:r>
        <w:t xml:space="preserve">Access; DISA is the agency, DIA is the Defense Intelligence Agency);</w:t>
      </w:r>
      <w:r>
        <w:t xml:space="preserve"> </w:t>
      </w:r>
      <w:r>
        <w:t xml:space="preserve">v1.0 asserted that CISA mandates SD-WAN as a component of SASE, citing a</w:t>
      </w:r>
      <w:r>
        <w:t xml:space="preserve"> </w:t>
      </w:r>
      <w:r>
        <w:t xml:space="preserve">CISA document that does not exist; and v1.0’s Kerberos failure mechanism</w:t>
      </w:r>
      <w:r>
        <w:t xml:space="preserve"> </w:t>
      </w:r>
      <w:r>
        <w:t xml:space="preserve">does not occur under Microsoft’s default configuration. The paper’s</w:t>
      </w:r>
      <w:r>
        <w:t xml:space="preserve"> </w:t>
      </w:r>
      <w:r>
        <w:t xml:space="preserve">central argument survives all three corrections, but it is a weaker and</w:t>
      </w:r>
      <w:r>
        <w:t xml:space="preserve"> </w:t>
      </w:r>
      <w:r>
        <w:t xml:space="preserve">more honest argument than v1.0 made, and §2.4 says so explicitly.</w:t>
      </w:r>
    </w:p>
    <w:bookmarkEnd w:id="9"/>
    <w:bookmarkStart w:id="10" w:name="executive-summary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Federal agencies are replacing hairpin routing through Trusted Internet</w:t>
      </w:r>
      <w:r>
        <w:t xml:space="preserve"> </w:t>
      </w:r>
      <w:r>
        <w:t xml:space="preserve">Connections access points with local Direct Internet Access (DIA) at the</w:t>
      </w:r>
      <w:r>
        <w:t xml:space="preserve"> </w:t>
      </w:r>
      <w:r>
        <w:t xml:space="preserve">branch, secured by a Secure Access Service Edge (SASE) service. That is</w:t>
      </w:r>
      <w:r>
        <w:t xml:space="preserve"> </w:t>
      </w:r>
      <w:r>
        <w:t xml:space="preserve">the right direction. This paper addresses what is frequently left out of</w:t>
      </w:r>
      <w:r>
        <w:t xml:space="preserve"> </w:t>
      </w:r>
      <w:r>
        <w:t xml:space="preserve">it: a branch-edge policy layer — SD-WAN or equivalent — that decides</w:t>
      </w:r>
      <w:r>
        <w:t xml:space="preserve"> </w:t>
      </w:r>
      <w:r>
        <w:t xml:space="preserve">which traffic takes which path, measures the health of each path, and</w:t>
      </w:r>
      <w:r>
        <w:t xml:space="preserve"> </w:t>
      </w:r>
      <w:r>
        <w:t xml:space="preserve">produces per-application transport telemetry.</w:t>
      </w:r>
    </w:p>
    <w:p>
      <w:pPr>
        <w:pStyle w:val="BodyText"/>
      </w:pPr>
      <w:r>
        <w:t xml:space="preserve">Without that layer, an agency has cloud-delivered security inspection</w:t>
      </w:r>
      <w:r>
        <w:t xml:space="preserve"> </w:t>
      </w:r>
      <w:r>
        <w:t xml:space="preserve">applied to traffic it does not govern before the traffic leaves the</w:t>
      </w:r>
      <w:r>
        <w:t xml:space="preserve"> </w:t>
      </w:r>
      <w:r>
        <w:t xml:space="preserve">building. The security controls work. The transport underneath them is</w:t>
      </w:r>
      <w:r>
        <w:t xml:space="preserve"> </w:t>
      </w:r>
      <w:r>
        <w:t xml:space="preserve">undifferentiated, unmeasured, and unattested.</w:t>
      </w:r>
    </w:p>
    <w:p>
      <w:pPr>
        <w:pStyle w:val="BodyText"/>
      </w:pPr>
      <w:r>
        <w:rPr>
          <w:b/>
          <w:bCs/>
        </w:rPr>
        <w:t xml:space="preserve">This paper makes one claim about policy and four about engineering.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 claim is deliberately narrow.</w:t>
      </w:r>
    </w:p>
    <w:p>
      <w:pPr>
        <w:pStyle w:val="BodyText"/>
      </w:pPr>
      <w:r>
        <w:rPr>
          <w:b/>
          <w:bCs/>
        </w:rPr>
        <w:t xml:space="preserve">Finding 1 — TIC 3.0 does not require SD-WAN, and any paper telling</w:t>
      </w:r>
      <w:r>
        <w:rPr>
          <w:b/>
          <w:bCs/>
        </w:rPr>
        <w:t xml:space="preserve"> </w:t>
      </w:r>
      <w:r>
        <w:rPr>
          <w:b/>
          <w:bCs/>
        </w:rPr>
        <w:t xml:space="preserve">you otherwise is wrong.</w:t>
      </w:r>
      <w:r>
        <w:t xml:space="preserve"> </w:t>
      </w:r>
      <w:r>
        <w:t xml:space="preserve">TIC 3.0 is explicitly descriptive rather than</w:t>
      </w:r>
      <w:r>
        <w:t xml:space="preserve"> </w:t>
      </w:r>
      <w:r>
        <w:t xml:space="preserve">prescriptive; it mandates no technology, no vendor, and no topology.</w:t>
      </w:r>
      <w:r>
        <w:t xml:space="preserve"> </w:t>
      </w:r>
      <w:r>
        <w:t xml:space="preserve">What it does require is that an agency implement and be able to</w:t>
      </w:r>
      <w:r>
        <w:t xml:space="preserve"> </w:t>
      </w:r>
      <w:r>
        <w:rPr>
          <w:i/>
          <w:iCs/>
        </w:rPr>
        <w:t xml:space="preserve">evidence</w:t>
      </w:r>
      <w:r>
        <w:t xml:space="preserve"> </w:t>
      </w:r>
      <w:r>
        <w:t xml:space="preserve">a set of security capabilities and share telemetry with CISA.</w:t>
      </w:r>
      <w:r>
        <w:t xml:space="preserve"> </w:t>
      </w:r>
      <w:r>
        <w:t xml:space="preserve">The honest version of this paper’s argument is therefore an evidence</w:t>
      </w:r>
      <w:r>
        <w:t xml:space="preserve"> </w:t>
      </w:r>
      <w:r>
        <w:t xml:space="preserve">argument, not a compliance-violation argument: several TIC 3.0 security</w:t>
      </w:r>
      <w:r>
        <w:t xml:space="preserve"> </w:t>
      </w:r>
      <w:r>
        <w:t xml:space="preserve">capabilities and several NIST SP 800-53 Rev 5 control assertions are</w:t>
      </w:r>
      <w:r>
        <w:t xml:space="preserve"> </w:t>
      </w:r>
      <w:r>
        <w:t xml:space="preserve">difficult or impossible to evidence at the branch without a</w:t>
      </w:r>
      <w:r>
        <w:t xml:space="preserve"> </w:t>
      </w:r>
      <w:r>
        <w:t xml:space="preserve">policy-enforcing, telemetry-producing device there. That is a real and</w:t>
      </w:r>
      <w:r>
        <w:t xml:space="preserve"> </w:t>
      </w:r>
      <w:r>
        <w:t xml:space="preserve">defensible gap. It is not a directive violation, and presenting it as</w:t>
      </w:r>
      <w:r>
        <w:t xml:space="preserve"> </w:t>
      </w:r>
      <w:r>
        <w:t xml:space="preserve">one will not survive review. (§2.3, §2.4)</w:t>
      </w:r>
    </w:p>
    <w:p>
      <w:pPr>
        <w:pStyle w:val="BodyText"/>
      </w:pPr>
      <w:r>
        <w:rPr>
          <w:b/>
          <w:bCs/>
        </w:rPr>
        <w:t xml:space="preserve">Finding 2 — DIA and SASE together solve the hairpin problem and</w:t>
      </w:r>
      <w:r>
        <w:rPr>
          <w:b/>
          <w:bCs/>
        </w:rPr>
        <w:t xml:space="preserve"> </w:t>
      </w:r>
      <w:r>
        <w:rPr>
          <w:b/>
          <w:bCs/>
        </w:rPr>
        <w:t xml:space="preserve">leave the branch-edge problem untouched.</w:t>
      </w:r>
      <w:r>
        <w:t xml:space="preserve"> </w:t>
      </w:r>
      <w:r>
        <w:t xml:space="preserve">Direct Internet Access</w:t>
      </w:r>
      <w:r>
        <w:t xml:space="preserve"> </w:t>
      </w:r>
      <w:r>
        <w:t xml:space="preserve">removes the forced trip to a central inspection point. It does not add</w:t>
      </w:r>
      <w:r>
        <w:t xml:space="preserve"> </w:t>
      </w:r>
      <w:r>
        <w:t xml:space="preserve">path selection across multiple links, application-aware steering,</w:t>
      </w:r>
      <w:r>
        <w:t xml:space="preserve"> </w:t>
      </w:r>
      <w:r>
        <w:t xml:space="preserve">link-health-driven failover, queue management before traffic enters the</w:t>
      </w:r>
      <w:r>
        <w:t xml:space="preserve"> </w:t>
      </w:r>
      <w:r>
        <w:t xml:space="preserve">WAN, or per-application path telemetry. Those are properties of a</w:t>
      </w:r>
      <w:r>
        <w:t xml:space="preserve"> </w:t>
      </w:r>
      <w:r>
        <w:t xml:space="preserve">branch-edge device, and an agency that has replaced a TICAP with DIA has</w:t>
      </w:r>
      <w:r>
        <w:t xml:space="preserve"> </w:t>
      </w:r>
      <w:r>
        <w:t xml:space="preserve">changed where inspection happens without changing whether transport is</w:t>
      </w:r>
      <w:r>
        <w:t xml:space="preserve"> </w:t>
      </w:r>
      <w:r>
        <w:t xml:space="preserve">governed. (§3)</w:t>
      </w:r>
    </w:p>
    <w:p>
      <w:pPr>
        <w:pStyle w:val="BodyText"/>
      </w:pPr>
      <w:r>
        <w:rPr>
          <w:b/>
          <w:bCs/>
        </w:rPr>
        <w:t xml:space="preserve">Finding 3 — The legacy-protocol fragility is real, but not for the</w:t>
      </w:r>
      <w:r>
        <w:rPr>
          <w:b/>
          <w:bCs/>
        </w:rPr>
        <w:t xml:space="preserve"> </w:t>
      </w:r>
      <w:r>
        <w:rPr>
          <w:b/>
          <w:bCs/>
        </w:rPr>
        <w:t xml:space="preserve">reasons commonly given.</w:t>
      </w:r>
      <w:r>
        <w:t xml:space="preserve"> </w:t>
      </w:r>
      <w:r>
        <w:t xml:space="preserve">Long-lived, stateful sessions do fail under</w:t>
      </w:r>
      <w:r>
        <w:t xml:space="preserve"> </w:t>
      </w:r>
      <w:r>
        <w:t xml:space="preserve">proxied and re-routed paths. They fail because of connection resets,</w:t>
      </w:r>
      <w:r>
        <w:t xml:space="preserve"> </w:t>
      </w:r>
      <w:r>
        <w:t xml:space="preserve">proxy idle timeouts, end-to-end mutual TLS and certificate pinning,</w:t>
      </w:r>
      <w:r>
        <w:t xml:space="preserve"> </w:t>
      </w:r>
      <w:r>
        <w:t xml:space="preserve">source-IP-dependent application logic, and non-HTTP protocols an</w:t>
      </w:r>
      <w:r>
        <w:t xml:space="preserve"> </w:t>
      </w:r>
      <w:r>
        <w:t xml:space="preserve">enforcement point cannot parse. They do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fail because a path change</w:t>
      </w:r>
      <w:r>
        <w:t xml:space="preserve"> </w:t>
      </w:r>
      <w:r>
        <w:t xml:space="preserve">breaks TCP sequence continuity (it does not), and Kerberos 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fail because of source-address changes under Microsoft’s default KDC</w:t>
      </w:r>
      <w:r>
        <w:t xml:space="preserve"> </w:t>
      </w:r>
      <w:r>
        <w:t xml:space="preserve">configuration (</w:t>
      </w:r>
      <w:r>
        <w:rPr>
          <w:rStyle w:val="VerbatimChar"/>
        </w:rPr>
        <w:t xml:space="preserve">KdcUseClientAddresses</w:t>
      </w:r>
      <w:r>
        <w:t xml:space="preserve"> </w:t>
      </w:r>
      <w:r>
        <w:t xml:space="preserve">defaults to 0 and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 </w:t>
      </w:r>
      <w:r>
        <w:t xml:space="preserve">defaults to 1 — Windows KDCs neither write nor</w:t>
      </w:r>
      <w:r>
        <w:t xml:space="preserve"> </w:t>
      </w:r>
      <w:r>
        <w:t xml:space="preserve">check the ticket address field). The correct list of Active Directory</w:t>
      </w:r>
      <w:r>
        <w:t xml:space="preserve"> </w:t>
      </w:r>
      <w:r>
        <w:t xml:space="preserve">dependencies that genuinely require reachable domain controllers is</w:t>
      </w:r>
      <w:r>
        <w:t xml:space="preserve"> </w:t>
      </w:r>
      <w:r>
        <w:t xml:space="preserve">short and specific, and §4 gives it. (§4)</w:t>
      </w:r>
    </w:p>
    <w:p>
      <w:pPr>
        <w:pStyle w:val="BodyText"/>
      </w:pPr>
      <w:r>
        <w:rPr>
          <w:b/>
          <w:bCs/>
        </w:rPr>
        <w:t xml:space="preserve">Finding 4 — Chattiness, not milliseconds, is the dominant</w:t>
      </w:r>
      <w:r>
        <w:rPr>
          <w:b/>
          <w:bCs/>
        </w:rPr>
        <w:t xml:space="preserve"> </w:t>
      </w:r>
      <w:r>
        <w:rPr>
          <w:b/>
          <w:bCs/>
        </w:rPr>
        <w:t xml:space="preserve">application-latency term, and network work cannot fix it.</w:t>
      </w:r>
      <w:r>
        <w:t xml:space="preserve"> </w:t>
      </w:r>
      <w:r>
        <w:t xml:space="preserve">A</w:t>
      </w:r>
      <w:r>
        <w:t xml:space="preserve"> </w:t>
      </w:r>
      <w:r>
        <w:t xml:space="preserve">transaction issuing 30 sequential round trips against a remote database</w:t>
      </w:r>
      <w:r>
        <w:t xml:space="preserve"> </w:t>
      </w:r>
      <w:r>
        <w:t xml:space="preserve">is dominated by its round-trip count. Re-architecting transport can</w:t>
      </w:r>
      <w:r>
        <w:t xml:space="preserve"> </w:t>
      </w:r>
      <w:r>
        <w:t xml:space="preserve">plausibly recover 20–35% of the network component on a typical</w:t>
      </w:r>
      <w:r>
        <w:t xml:space="preserve"> </w:t>
      </w:r>
      <w:r>
        <w:t xml:space="preserve">branch-to-cloud path; reducing 30 round trips to 3 recovers an order of</w:t>
      </w:r>
      <w:r>
        <w:t xml:space="preserve"> </w:t>
      </w:r>
      <w:r>
        <w:t xml:space="preserve">magnitude. Any business case that offers a network intervention as the</w:t>
      </w:r>
      <w:r>
        <w:t xml:space="preserve"> </w:t>
      </w:r>
      <w:r>
        <w:t xml:space="preserve">remedy for application chattiness will be dismantled by the first</w:t>
      </w:r>
      <w:r>
        <w:t xml:space="preserve"> </w:t>
      </w:r>
      <w:r>
        <w:t xml:space="preserve">reviewer who decomposes the path. §4.2 does that decomposition,</w:t>
      </w:r>
      <w:r>
        <w:t xml:space="preserve"> </w:t>
      </w:r>
      <w:r>
        <w:t xml:space="preserve">including for the intervention this paper recommends. (§4.2)</w:t>
      </w:r>
    </w:p>
    <w:p>
      <w:pPr>
        <w:pStyle w:val="BodyText"/>
      </w:pPr>
      <w:r>
        <w:rPr>
          <w:b/>
          <w:bCs/>
        </w:rPr>
        <w:t xml:space="preserve">Finding 5 — Sequencing is an engineering dependency, not a mandate,</w:t>
      </w:r>
      <w:r>
        <w:rPr>
          <w:b/>
          <w:bCs/>
        </w:rPr>
        <w:t xml:space="preserve"> </w:t>
      </w:r>
      <w:r>
        <w:rPr>
          <w:b/>
          <w:bCs/>
        </w:rPr>
        <w:t xml:space="preserve">and it is still the strongest argument here.</w:t>
      </w:r>
      <w:r>
        <w:t xml:space="preserve"> </w:t>
      </w:r>
      <w:r>
        <w:t xml:space="preserve">An agency that migrates</w:t>
      </w:r>
      <w:r>
        <w:t xml:space="preserve"> </w:t>
      </w:r>
      <w:r>
        <w:t xml:space="preserve">workloads to a cloud environment before it can govern and measure the</w:t>
      </w:r>
      <w:r>
        <w:t xml:space="preserve"> </w:t>
      </w:r>
      <w:r>
        <w:t xml:space="preserve">transport its users reach that cloud over has no baseline against which</w:t>
      </w:r>
      <w:r>
        <w:t xml:space="preserve"> </w:t>
      </w:r>
      <w:r>
        <w:t xml:space="preserve">to attribute post-migration performance and cost problems. The</w:t>
      </w:r>
      <w:r>
        <w:t xml:space="preserve"> </w:t>
      </w:r>
      <w:r>
        <w:t xml:space="preserve">predictable result is that transport-attributable cost is absorbed as</w:t>
      </w:r>
      <w:r>
        <w:t xml:space="preserve"> </w:t>
      </w:r>
      <w:r>
        <w:t xml:space="preserve">cloud cost, which produces a</w:t>
      </w:r>
      <w:r>
        <w:t xml:space="preserve"> </w:t>
      </w:r>
      <w:r>
        <w:t xml:space="preserve">“cloud is too expensive”</w:t>
      </w:r>
      <w:r>
        <w:t xml:space="preserve"> </w:t>
      </w:r>
      <w:r>
        <w:t xml:space="preserve">narrative and</w:t>
      </w:r>
      <w:r>
        <w:t xml:space="preserve"> </w:t>
      </w:r>
      <w:r>
        <w:t xml:space="preserve">pressure to repatriate — with the actual cause never identified</w:t>
      </w:r>
      <w:r>
        <w:t xml:space="preserve"> </w:t>
      </w:r>
      <w:r>
        <w:t xml:space="preserve">because it never appears in the metrics being examined. This paper calls</w:t>
      </w:r>
      <w:r>
        <w:t xml:space="preserve"> </w:t>
      </w:r>
      <w:r>
        <w:t xml:space="preserve">that pattern</w:t>
      </w:r>
      <w:r>
        <w:t xml:space="preserve"> </w:t>
      </w:r>
      <w:r>
        <w:rPr>
          <w:b/>
          <w:bCs/>
        </w:rPr>
        <w:t xml:space="preserve">phase inversion</w:t>
      </w:r>
      <w:r>
        <w:t xml:space="preserve">. No federal policy mandates the</w:t>
      </w:r>
      <w:r>
        <w:t xml:space="preserve"> </w:t>
      </w:r>
      <w:r>
        <w:t xml:space="preserve">sequence; the dependency is technical, and it is enough. (§7)</w:t>
      </w:r>
    </w:p>
    <w:p>
      <w:pPr>
        <w:pStyle w:val="BodyText"/>
      </w:pPr>
      <w:r>
        <w:rPr>
          <w:b/>
          <w:bCs/>
        </w:rPr>
        <w:t xml:space="preserve">What this paper deliberately does not do.</w:t>
      </w:r>
      <w:r>
        <w:t xml:space="preserve"> </w:t>
      </w:r>
      <w:r>
        <w:t xml:space="preserve">It does not give you a</w:t>
      </w:r>
      <w:r>
        <w:t xml:space="preserve"> </w:t>
      </w:r>
      <w:r>
        <w:t xml:space="preserve">compute-overhead percentage or a dollar figure. Version 1.0 asserted</w:t>
      </w:r>
      <w:r>
        <w:t xml:space="preserve"> </w:t>
      </w:r>
      <w:r>
        <w:t xml:space="preserve">12–18% additional CPU utilization and $200,000–$400,000 in annual</w:t>
      </w:r>
      <w:r>
        <w:t xml:space="preserve"> </w:t>
      </w:r>
      <w:r>
        <w:t xml:space="preserve">overspend with no derivation, no measurement, and no instance count, and</w:t>
      </w:r>
      <w:r>
        <w:t xml:space="preserve"> </w:t>
      </w:r>
      <w:r>
        <w:t xml:space="preserve">then directed agencies to use those figures as a TCO baseline. That was</w:t>
      </w:r>
      <w:r>
        <w:t xml:space="preserve"> </w:t>
      </w:r>
      <w:r>
        <w:t xml:space="preserve">indefensible. §6 replaces it with a measurement method, the specific</w:t>
      </w:r>
      <w:r>
        <w:t xml:space="preserve"> </w:t>
      </w:r>
      <w:r>
        <w:t xml:space="preserve">counters to collect, and a worked example whose every input is stated so</w:t>
      </w:r>
      <w:r>
        <w:t xml:space="preserve"> </w:t>
      </w:r>
      <w:r>
        <w:t xml:space="preserve">a reviewer can substitute their own.</w:t>
      </w:r>
    </w:p>
    <w:bookmarkEnd w:id="10"/>
    <w:bookmarkStart w:id="17" w:name="policy-background"/>
    <w:p>
      <w:pPr>
        <w:pStyle w:val="Heading1"/>
      </w:pPr>
      <w:r>
        <w:t xml:space="preserve">2. Policy background</w:t>
      </w:r>
    </w:p>
    <w:bookmarkStart w:id="11" w:name="what-tic-3.0-changed"/>
    <w:p>
      <w:pPr>
        <w:pStyle w:val="Heading2"/>
      </w:pPr>
      <w:r>
        <w:t xml:space="preserve">2.1 What TIC 3.0 changed</w:t>
      </w:r>
    </w:p>
    <w:p>
      <w:pPr>
        <w:pStyle w:val="FirstParagraph"/>
      </w:pPr>
      <w:r>
        <w:t xml:space="preserve">The Trusted Internet Connections initiative was established in 2007 and</w:t>
      </w:r>
      <w:r>
        <w:t xml:space="preserve"> </w:t>
      </w:r>
      <w:r>
        <w:t xml:space="preserve">operationalized by OMB Memorandum M-08-05,</w:t>
      </w:r>
      <w:r>
        <w:t xml:space="preserve"> </w:t>
      </w:r>
      <w:r>
        <w:rPr>
          <w:i/>
          <w:iCs/>
        </w:rPr>
        <w:t xml:space="preserve">Implementation of Trusted</w:t>
      </w:r>
      <w:r>
        <w:rPr>
          <w:i/>
          <w:iCs/>
        </w:rPr>
        <w:t xml:space="preserve"> </w:t>
      </w:r>
      <w:r>
        <w:rPr>
          <w:i/>
          <w:iCs/>
        </w:rPr>
        <w:t xml:space="preserve">Internet Connections</w:t>
      </w:r>
      <w:r>
        <w:t xml:space="preserve"> </w:t>
      </w:r>
      <w:r>
        <w:t xml:space="preserve">(20 November 2007), as a consolidation mandate:</w:t>
      </w:r>
      <w:r>
        <w:t xml:space="preserve"> </w:t>
      </w:r>
      <w:r>
        <w:t xml:space="preserve">civilian agencies were to reduce external internet access points to a</w:t>
      </w:r>
      <w:r>
        <w:t xml:space="preserve"> </w:t>
      </w:r>
      <w:r>
        <w:t xml:space="preserve">small approved set, through which all agency traffic would be routed and</w:t>
      </w:r>
      <w:r>
        <w:t xml:space="preserve"> </w:t>
      </w:r>
      <w:r>
        <w:t xml:space="preserve">inspected.</w:t>
      </w:r>
    </w:p>
    <w:p>
      <w:pPr>
        <w:pStyle w:val="BodyText"/>
      </w:pPr>
      <w:r>
        <w:t xml:space="preserve">Consolidation succeeded, and the routing model it required did not age</w:t>
      </w:r>
      <w:r>
        <w:t xml:space="preserve"> </w:t>
      </w:r>
      <w:r>
        <w:t xml:space="preserve">well. The mandatory architecture sent traffic from any agency location</w:t>
      </w:r>
      <w:r>
        <w:t xml:space="preserve"> </w:t>
      </w:r>
      <w:r>
        <w:t xml:space="preserve">to a physical access point before it could reach the internet or a cloud</w:t>
      </w:r>
      <w:r>
        <w:t xml:space="preserve"> </w:t>
      </w:r>
      <w:r>
        <w:t xml:space="preserve">service, which added a long detour to every cloud interaction as cloud</w:t>
      </w:r>
      <w:r>
        <w:t xml:space="preserve"> </w:t>
      </w:r>
      <w:r>
        <w:t xml:space="preserve">adoption accelerated. Managed Trusted Internet Protocol Services (MTIPS)</w:t>
      </w:r>
      <w:r>
        <w:t xml:space="preserve"> </w:t>
      </w:r>
      <w:r>
        <w:t xml:space="preserve">moved operation of those access points to GSA-contracted commercial</w:t>
      </w:r>
      <w:r>
        <w:t xml:space="preserve"> </w:t>
      </w:r>
      <w:r>
        <w:t xml:space="preserve">providers, improving operational consistency while locking the</w:t>
      </w:r>
      <w:r>
        <w:t xml:space="preserve"> </w:t>
      </w:r>
      <w:r>
        <w:t xml:space="preserve">hub-and-spoke routing model into contract.</w:t>
      </w:r>
    </w:p>
    <w:p>
      <w:pPr>
        <w:pStyle w:val="BodyText"/>
      </w:pPr>
      <w:r>
        <w:rPr>
          <w:b/>
          <w:bCs/>
        </w:rPr>
        <w:t xml:space="preserve">OMB M-19-26,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Update to the Trusted Internet Connections (TIC)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Initiative</w:t>
      </w:r>
      <w:r>
        <w:rPr>
          <w:b/>
          <w:bCs/>
        </w:rPr>
        <w:t xml:space="preserve"> </w:t>
      </w:r>
      <w:r>
        <w:rPr>
          <w:b/>
          <w:bCs/>
        </w:rPr>
        <w:t xml:space="preserve">(12 September 2019), rescinded M-08-05</w:t>
      </w:r>
      <w:r>
        <w:t xml:space="preserve"> </w:t>
      </w:r>
      <w:r>
        <w:t xml:space="preserve">— along with</w:t>
      </w:r>
      <w:r>
        <w:t xml:space="preserve"> </w:t>
      </w:r>
      <w:r>
        <w:t xml:space="preserve">M-08-16, M-08-27 and M-09-32 — and replaced physical-routing</w:t>
      </w:r>
      <w:r>
        <w:t xml:space="preserve"> </w:t>
      </w:r>
      <w:r>
        <w:t xml:space="preserve">compliance with capability-based compliance. Under TIC 3.0, agencies are</w:t>
      </w:r>
      <w:r>
        <w:t xml:space="preserve"> </w:t>
      </w:r>
      <w:r>
        <w:t xml:space="preserve">not required to route all traffic through a traditional access point,</w:t>
      </w:r>
      <w:r>
        <w:t xml:space="preserve"> </w:t>
      </w:r>
      <w:r>
        <w:t xml:space="preserve">provided they implement approved use cases that maintain the required</w:t>
      </w:r>
      <w:r>
        <w:t xml:space="preserve"> </w:t>
      </w:r>
      <w:r>
        <w:t xml:space="preserve">security capabilities and share telemetry with CISA.</w:t>
      </w:r>
    </w:p>
    <w:p>
      <w:pPr>
        <w:pStyle w:val="BodyText"/>
      </w:pPr>
      <w:r>
        <w:rPr>
          <w:i/>
          <w:iCs/>
        </w:rPr>
        <w:t xml:space="preserve">Verification note: M-19-26’s rescission of M-08-05 is confirmed in the</w:t>
      </w:r>
      <w:r>
        <w:rPr>
          <w:i/>
          <w:iCs/>
        </w:rPr>
        <w:t xml:space="preserve"> </w:t>
      </w:r>
      <w:r>
        <w:rPr>
          <w:i/>
          <w:iCs/>
        </w:rPr>
        <w:t xml:space="preserve">memorandum text. No instrument rescinding M-19-26 was found; treat TIC</w:t>
      </w:r>
      <w:r>
        <w:rPr>
          <w:i/>
          <w:iCs/>
        </w:rPr>
        <w:t xml:space="preserve"> </w:t>
      </w:r>
      <w:r>
        <w:rPr>
          <w:i/>
          <w:iCs/>
        </w:rPr>
        <w:t xml:space="preserve">3.0 as operative. Historical access-point reduction figures circulate</w:t>
      </w:r>
      <w:r>
        <w:rPr>
          <w:i/>
          <w:iCs/>
        </w:rPr>
        <w:t xml:space="preserve"> </w:t>
      </w:r>
      <w:r>
        <w:rPr>
          <w:i/>
          <w:iCs/>
        </w:rPr>
        <w:t xml:space="preserve">widely in secondary sources and are not cited here because no primary</w:t>
      </w:r>
      <w:r>
        <w:rPr>
          <w:i/>
          <w:iCs/>
        </w:rPr>
        <w:t xml:space="preserve"> </w:t>
      </w:r>
      <w:r>
        <w:rPr>
          <w:i/>
          <w:iCs/>
        </w:rPr>
        <w:t xml:space="preserve">source was confirmed for them.</w:t>
      </w:r>
    </w:p>
    <w:bookmarkEnd w:id="11"/>
    <w:bookmarkStart w:id="12" w:name="the-current-tic-3.0-document-set"/>
    <w:p>
      <w:pPr>
        <w:pStyle w:val="Heading2"/>
      </w:pPr>
      <w:r>
        <w:t xml:space="preserve">2.2 The current TIC 3.0 document set</w:t>
      </w:r>
    </w:p>
    <w:p>
      <w:pPr>
        <w:pStyle w:val="FirstParagraph"/>
      </w:pPr>
      <w:r>
        <w:t xml:space="preserve">TIC 3.0 core guidance comprises five volumes — Program Guidebook</w:t>
      </w:r>
      <w:r>
        <w:t xml:space="preserve"> </w:t>
      </w:r>
      <w:r>
        <w:t xml:space="preserve">(Volume 1), Reference Architecture (Volume 2), Security Capabilities</w:t>
      </w:r>
      <w:r>
        <w:t xml:space="preserve"> </w:t>
      </w:r>
      <w:r>
        <w:t xml:space="preserve">Catalog (Volume 3), Use Case Handbook (Volume 4), and Service Provider</w:t>
      </w:r>
      <w:r>
        <w:t xml:space="preserve"> </w:t>
      </w:r>
      <w:r>
        <w:t xml:space="preserve">Overlay Handbook (Volume 5) — plus four published use cases:</w:t>
      </w:r>
      <w:r>
        <w:t xml:space="preserve"> </w:t>
      </w:r>
      <w:r>
        <w:rPr>
          <w:b/>
          <w:bCs/>
        </w:rPr>
        <w:t xml:space="preserve">Traditional, Branch Office, Remote User, and Cloud.</w:t>
      </w:r>
    </w:p>
    <w:p>
      <w:pPr>
        <w:pStyle w:val="BodyText"/>
      </w:pPr>
      <w:r>
        <w:t xml:space="preserve">Three cautions, because v1.0 of this paper got each of them wrong: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 TIC 3.0</w:t>
      </w:r>
      <w:r>
        <w:rPr>
          <w:b/>
          <w:bCs/>
        </w:rPr>
        <w:t xml:space="preserve"> </w:t>
      </w:r>
      <w:r>
        <w:rPr>
          <w:b/>
          <w:bCs/>
        </w:rPr>
        <w:t xml:space="preserve">“SASE Use Case.”</w:t>
      </w:r>
      <w:r>
        <w:t xml:space="preserve"> </w:t>
      </w:r>
      <w:r>
        <w:t xml:space="preserve">CISA has not published one.</w:t>
      </w:r>
      <w:r>
        <w:t xml:space="preserve"> </w:t>
      </w:r>
      <w:r>
        <w:t xml:space="preserve">Version 1.0 cited it in a section heading, in a formal</w:t>
      </w:r>
      <w:r>
        <w:t xml:space="preserve"> </w:t>
      </w:r>
      <w:r>
        <w:t xml:space="preserve">recommendation, and in a program phase table.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Use-case version numbers and dates could not be verified for this</w:t>
      </w:r>
      <w:r>
        <w:rPr>
          <w:b/>
          <w:bCs/>
        </w:rPr>
        <w:t xml:space="preserve"> </w:t>
      </w:r>
      <w:r>
        <w:rPr>
          <w:b/>
          <w:bCs/>
        </w:rPr>
        <w:t xml:space="preserve">revision.</w:t>
      </w:r>
      <w:r>
        <w:t xml:space="preserve"> </w:t>
      </w:r>
      <w:r>
        <w:t xml:space="preserve">CISA’s core-guidance landing page and the underlying</w:t>
      </w:r>
      <w:r>
        <w:t xml:space="preserve"> </w:t>
      </w:r>
      <w:r>
        <w:t xml:space="preserve">PDFs refused automated retrieval. Version 1.0 cited a</w:t>
      </w:r>
      <w:r>
        <w:t xml:space="preserve"> </w:t>
      </w:r>
      <w:r>
        <w:t xml:space="preserve">“TIC 3.0</w:t>
      </w:r>
      <w:r>
        <w:t xml:space="preserve"> </w:t>
      </w:r>
      <w:r>
        <w:t xml:space="preserve">Program Guidebook, July 2025, Version 1.2”</w:t>
      </w:r>
      <w:r>
        <w:t xml:space="preserve"> </w:t>
      </w:r>
      <w:r>
        <w:t xml:space="preserve">and a</w:t>
      </w:r>
      <w:r>
        <w:t xml:space="preserve"> </w:t>
      </w:r>
      <w:r>
        <w:t xml:space="preserve">“Branch Office Use</w:t>
      </w:r>
      <w:r>
        <w:t xml:space="preserve"> </w:t>
      </w:r>
      <w:r>
        <w:t xml:space="preserve">Case, Version 3.0”</w:t>
      </w:r>
      <w:r>
        <w:t xml:space="preserve">; neither could be confirmed, and the July 2025 /</w:t>
      </w:r>
      <w:r>
        <w:t xml:space="preserve"> </w:t>
      </w:r>
      <w:r>
        <w:t xml:space="preserve">v1.2 designation appears to belong to the</w:t>
      </w:r>
      <w:r>
        <w:t xml:space="preserve"> </w:t>
      </w:r>
      <w:r>
        <w:rPr>
          <w:i/>
          <w:iCs/>
        </w:rPr>
        <w:t xml:space="preserve">Cloud</w:t>
      </w:r>
      <w:r>
        <w:t xml:space="preserve"> </w:t>
      </w:r>
      <w:r>
        <w:t xml:space="preserve">Use Case rather</w:t>
      </w:r>
      <w:r>
        <w:t xml:space="preserve"> </w:t>
      </w:r>
      <w:r>
        <w:t xml:space="preserve">than the Program Guidebook.</w:t>
      </w:r>
      <w:r>
        <w:t xml:space="preserve"> </w:t>
      </w:r>
      <w:r>
        <w:rPr>
          <w:b/>
          <w:bCs/>
        </w:rPr>
        <w:t xml:space="preserve">Anyone citing a TIC version number</w:t>
      </w:r>
      <w:r>
        <w:rPr>
          <w:b/>
          <w:bCs/>
        </w:rPr>
        <w:t xml:space="preserve"> </w:t>
      </w:r>
      <w:r>
        <w:rPr>
          <w:b/>
          <w:bCs/>
        </w:rPr>
        <w:t xml:space="preserve">should open the PDF and read it off the cover page.</w:t>
      </w:r>
      <w:r>
        <w:t xml:space="preserve"> </w:t>
      </w:r>
      <w:r>
        <w:t xml:space="preserve">This paper</w:t>
      </w:r>
      <w:r>
        <w:t xml:space="preserve"> </w:t>
      </w:r>
      <w:r>
        <w:t xml:space="preserve">cites the documents by name only.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CISA is reported to have published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Journey to Zero Trust —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Using Secure Access Service Edge in a Modern TIC 3.0 Solution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dated 24 June 2026.</w:t>
      </w:r>
      <w:r>
        <w:t xml:space="preserve"> </w:t>
      </w:r>
      <w:r>
        <w:t xml:space="preserve">Its existence is reported but its text could</w:t>
      </w:r>
      <w:r>
        <w:t xml:space="preserve"> </w:t>
      </w:r>
      <w:r>
        <w:t xml:space="preserve">not be retrieved for this revision, so nothing in this paper rests</w:t>
      </w:r>
      <w:r>
        <w:t xml:space="preserve"> </w:t>
      </w:r>
      <w:r>
        <w:t xml:space="preserve">on it. If it exists as described, it is the single most relevant</w:t>
      </w:r>
      <w:r>
        <w:t xml:space="preserve"> </w:t>
      </w:r>
      <w:r>
        <w:t xml:space="preserve">CISA document to this subject and should be read before this paper</w:t>
      </w:r>
      <w:r>
        <w:t xml:space="preserve"> </w:t>
      </w:r>
      <w:r>
        <w:t xml:space="preserve">is acted on.</w:t>
      </w:r>
    </w:p>
    <w:bookmarkEnd w:id="12"/>
    <w:bookmarkStart w:id="13" w:name="what-tic-3.0-requires-stated-precisely"/>
    <w:p>
      <w:pPr>
        <w:pStyle w:val="Heading2"/>
      </w:pPr>
      <w:r>
        <w:t xml:space="preserve">2.3 What TIC 3.0 requires, stated precisely</w:t>
      </w:r>
    </w:p>
    <w:p>
      <w:pPr>
        <w:pStyle w:val="FirstParagraph"/>
      </w:pPr>
      <w:r>
        <w:t xml:space="preserve">This is where version 1.0 failed, so it is worth stating carefully.</w:t>
      </w:r>
    </w:p>
    <w:p>
      <w:pPr>
        <w:pStyle w:val="BodyText"/>
      </w:pPr>
      <w:r>
        <w:t xml:space="preserve">TIC 3.0 guidance is</w:t>
      </w:r>
      <w:r>
        <w:t xml:space="preserve"> </w:t>
      </w:r>
      <w:r>
        <w:rPr>
          <w:b/>
          <w:bCs/>
        </w:rPr>
        <w:t xml:space="preserve">descriptive, not prescriptive</w:t>
      </w:r>
      <w:r>
        <w:t xml:space="preserve">. It defines</w:t>
      </w:r>
      <w:r>
        <w:t xml:space="preserve"> </w:t>
      </w:r>
      <w:r>
        <w:t xml:space="preserve">security capabilities and the objectives they serve; it does not mandate</w:t>
      </w:r>
      <w:r>
        <w:t xml:space="preserve"> </w:t>
      </w:r>
      <w:r>
        <w:t xml:space="preserve">products, vendors, or topologies. It does not require SD-WAN. It does</w:t>
      </w:r>
      <w:r>
        <w:t xml:space="preserve"> </w:t>
      </w:r>
      <w:r>
        <w:t xml:space="preserve">not require SASE. It does not prohibit either.</w:t>
      </w:r>
    </w:p>
    <w:p>
      <w:pPr>
        <w:pStyle w:val="BodyText"/>
      </w:pPr>
      <w:r>
        <w:t xml:space="preserve">Version 1.0 asserted that</w:t>
      </w:r>
      <w:r>
        <w:t xml:space="preserve"> </w:t>
      </w:r>
      <w:r>
        <w:t xml:space="preserve">“CISA’s SASE Roadmap is explicit: SD-WAN is a</w:t>
      </w:r>
      <w:r>
        <w:t xml:space="preserve"> </w:t>
      </w:r>
      <w:r>
        <w:t xml:space="preserve">structural component of SASE, not an optional enhancement,”</w:t>
      </w:r>
      <w:r>
        <w:t xml:space="preserve"> </w:t>
      </w:r>
      <w:r>
        <w:t xml:space="preserve">and cited</w:t>
      </w:r>
      <w:r>
        <w:t xml:space="preserve"> </w:t>
      </w:r>
      <w:r>
        <w:rPr>
          <w:i/>
          <w:iCs/>
        </w:rPr>
        <w:t xml:space="preserve">Secure Access Service Edge (SASE) Roadmap for Federal Civilian</w:t>
      </w:r>
      <w:r>
        <w:rPr>
          <w:i/>
          <w:iCs/>
        </w:rPr>
        <w:t xml:space="preserve"> </w:t>
      </w:r>
      <w:r>
        <w:rPr>
          <w:i/>
          <w:iCs/>
        </w:rPr>
        <w:t xml:space="preserve">Agencies</w:t>
      </w:r>
      <w:r>
        <w:t xml:space="preserve"> </w:t>
      </w:r>
      <w:r>
        <w:t xml:space="preserve">(CISA, 2023).</w:t>
      </w:r>
      <w:r>
        <w:t xml:space="preserve"> </w:t>
      </w:r>
      <w:r>
        <w:rPr>
          <w:b/>
          <w:bCs/>
        </w:rPr>
        <w:t xml:space="preserve">No such document appears in CISA’s own</w:t>
      </w:r>
      <w:r>
        <w:rPr>
          <w:b/>
          <w:bCs/>
        </w:rPr>
        <w:t xml:space="preserve"> </w:t>
      </w:r>
      <w:r>
        <w:rPr>
          <w:b/>
          <w:bCs/>
        </w:rPr>
        <w:t xml:space="preserve">guidance index.</w:t>
      </w:r>
      <w:r>
        <w:t xml:space="preserve"> </w:t>
      </w:r>
      <w:r>
        <w:t xml:space="preserve">Two of v1.0’s five findings, an entire subsection, and</w:t>
      </w:r>
      <w:r>
        <w:t xml:space="preserve"> </w:t>
      </w:r>
      <w:r>
        <w:t xml:space="preserve">a formal acquisition recommendation rested on it. A reviewer who follows</w:t>
      </w:r>
      <w:r>
        <w:t xml:space="preserve"> </w:t>
      </w:r>
      <w:r>
        <w:t xml:space="preserve">that citation and finds nothing discards the paper, and is right to.</w:t>
      </w:r>
    </w:p>
    <w:p>
      <w:pPr>
        <w:pStyle w:val="BodyText"/>
      </w:pPr>
      <w:r>
        <w:t xml:space="preserve">What CISA does say about SD-WAN, in the material that could be verified,</w:t>
      </w:r>
      <w:r>
        <w:t xml:space="preserve"> </w:t>
      </w:r>
      <w:r>
        <w:t xml:space="preserve">is procurement-oriented rather than architectural: the TIC FAQ notes</w:t>
      </w:r>
      <w:r>
        <w:t xml:space="preserve"> </w:t>
      </w:r>
      <w:r>
        <w:t xml:space="preserve">that EIS provides SD-WAN networking and connectivity options to and from</w:t>
      </w:r>
      <w:r>
        <w:t xml:space="preserve"> </w:t>
      </w:r>
      <w:r>
        <w:t xml:space="preserve">agency networks, cloud services, and the internet. That is an</w:t>
      </w:r>
      <w:r>
        <w:t xml:space="preserve"> </w:t>
      </w:r>
      <w:r>
        <w:t xml:space="preserve">availability statement, not a requirement.</w:t>
      </w:r>
    </w:p>
    <w:bookmarkEnd w:id="13"/>
    <w:bookmarkStart w:id="14" w:name="the-honest-version-of-the-argument"/>
    <w:p>
      <w:pPr>
        <w:pStyle w:val="Heading2"/>
      </w:pPr>
      <w:r>
        <w:t xml:space="preserve">2.4 The honest version of the argument</w:t>
      </w:r>
    </w:p>
    <w:p>
      <w:pPr>
        <w:pStyle w:val="FirstParagraph"/>
      </w:pPr>
      <w:r>
        <w:t xml:space="preserve">Strip out the invented mandate and what remains is still worth an</w:t>
      </w:r>
      <w:r>
        <w:t xml:space="preserve"> </w:t>
      </w:r>
      <w:r>
        <w:t xml:space="preserve">agency’s attention — and it is defensible, which the v1.0 version was</w:t>
      </w:r>
      <w:r>
        <w:t xml:space="preserve"> </w:t>
      </w:r>
      <w:r>
        <w:t xml:space="preserve">not.</w:t>
      </w:r>
    </w:p>
    <w:p>
      <w:pPr>
        <w:pStyle w:val="BodyText"/>
      </w:pPr>
      <w:r>
        <w:t xml:space="preserve">TIC 3.0 compliance is demonstrated through implemented security</w:t>
      </w:r>
      <w:r>
        <w:t xml:space="preserve"> </w:t>
      </w:r>
      <w:r>
        <w:t xml:space="preserve">capabilities and the evidence that they are implemented. Several of</w:t>
      </w:r>
      <w:r>
        <w:t xml:space="preserve"> </w:t>
      </w:r>
      <w:r>
        <w:t xml:space="preserve">those capabilities, and several NIST SP 800-53 Rev 5 control assertions</w:t>
      </w:r>
      <w:r>
        <w:t xml:space="preserve"> </w:t>
      </w:r>
      <w:r>
        <w:t xml:space="preserve">an agency makes in its own authorization packages, are hard to evidence</w:t>
      </w:r>
      <w:r>
        <w:t xml:space="preserve"> </w:t>
      </w:r>
      <w:r>
        <w:t xml:space="preserve">at a branch that has no policy-enforcing, telemetry-producing device: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SC-7, Boundary Protection.</w:t>
      </w:r>
      <w:r>
        <w:t xml:space="preserve"> </w:t>
      </w:r>
      <w:r>
        <w:t xml:space="preserve">The assertion is that the system</w:t>
      </w:r>
      <w:r>
        <w:t xml:space="preserve"> </w:t>
      </w:r>
      <w:r>
        <w:t xml:space="preserve">monitors and controls communications at external boundaries and key</w:t>
      </w:r>
      <w:r>
        <w:t xml:space="preserve"> </w:t>
      </w:r>
      <w:r>
        <w:t xml:space="preserve">internal boundaries. With local internet breakout at the branch, the</w:t>
      </w:r>
      <w:r>
        <w:t xml:space="preserve"> </w:t>
      </w:r>
      <w:r>
        <w:t xml:space="preserve">branch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an external boundary. An agency asserting SC-7 there</w:t>
      </w:r>
      <w:r>
        <w:t xml:space="preserve"> </w:t>
      </w:r>
      <w:r>
        <w:t xml:space="preserve">should be able to say what is monitored and controlled at that</w:t>
      </w:r>
      <w:r>
        <w:t xml:space="preserve"> </w:t>
      </w:r>
      <w:r>
        <w:t xml:space="preserve">boundary, by what, and produce the record.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SI-4, System Monitoring.</w:t>
      </w:r>
      <w:r>
        <w:t xml:space="preserve"> </w:t>
      </w:r>
      <w:r>
        <w:t xml:space="preserve">Detection of attacks and indicators of</w:t>
      </w:r>
      <w:r>
        <w:t xml:space="preserve"> </w:t>
      </w:r>
      <w:r>
        <w:t xml:space="preserve">attack. Per-application, per-path transport telemetry is directly</w:t>
      </w:r>
      <w:r>
        <w:t xml:space="preserve"> </w:t>
      </w:r>
      <w:r>
        <w:t xml:space="preserve">responsive; a static router that emits interface counters is not.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AC-17, Remote Access.</w:t>
      </w:r>
      <w:r>
        <w:t xml:space="preserve"> </w:t>
      </w:r>
      <w:r>
        <w:t xml:space="preserve">Monitoring and control of remote access</w:t>
      </w:r>
      <w:r>
        <w:t xml:space="preserve"> </w:t>
      </w:r>
      <w:r>
        <w:t xml:space="preserve">methods. Application-to-path assignment is part of the answer to how</w:t>
      </w:r>
      <w:r>
        <w:t xml:space="preserve"> </w:t>
      </w:r>
      <w:r>
        <w:t xml:space="preserve">remote access is controlled and to where.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CA-7, Continuous Monitoring</w:t>
      </w:r>
      <w:r>
        <w:t xml:space="preserve">, and the logging obligations under</w:t>
      </w:r>
      <w:r>
        <w:t xml:space="preserve"> </w:t>
      </w:r>
      <w:r>
        <w:rPr>
          <w:b/>
          <w:bCs/>
        </w:rPr>
        <w:t xml:space="preserve">OMB M-26-14</w:t>
      </w:r>
      <w:r>
        <w:t xml:space="preserve"> </w:t>
      </w:r>
      <w:r>
        <w:t xml:space="preserve">(§2.5). If transport-layer events are not collected,</w:t>
      </w:r>
      <w:r>
        <w:t xml:space="preserve"> </w:t>
      </w:r>
      <w:r>
        <w:t xml:space="preserve">they are not in the pipeline that memo governs.</w:t>
      </w:r>
    </w:p>
    <w:p>
      <w:pPr>
        <w:pStyle w:val="FirstParagraph"/>
      </w:pPr>
      <w:r>
        <w:t xml:space="preserve">None of that says an agency is out of compliance for lacking SD-WAN. It</w:t>
      </w:r>
      <w:r>
        <w:t xml:space="preserve"> </w:t>
      </w:r>
      <w:r>
        <w:t xml:space="preserve">says an agency with an ungoverned branch edge will have difficulty</w:t>
      </w:r>
      <w:r>
        <w:t xml:space="preserve"> </w:t>
      </w:r>
      <w:r>
        <w:t xml:space="preserve">producing the evidence its own control assertions promise, and that the</w:t>
      </w:r>
      <w:r>
        <w:t xml:space="preserve"> </w:t>
      </w:r>
      <w:r>
        <w:t xml:space="preserve">gap surfaces at assessment time rather than at deployment time.</w:t>
      </w:r>
      <w:r>
        <w:t xml:space="preserve"> </w:t>
      </w: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</w:rPr>
        <w:t xml:space="preserve">is an evidence argument, and it is the argument this paper makes.</w:t>
      </w:r>
    </w:p>
    <w:bookmarkEnd w:id="14"/>
    <w:bookmarkStart w:id="15" w:name="Xb9b3c892b8e086efeee6132d15839904313e615"/>
    <w:p>
      <w:pPr>
        <w:pStyle w:val="Heading2"/>
      </w:pPr>
      <w:r>
        <w:t xml:space="preserve">2.5 Policy currency — four citations that changed in 2026</w:t>
      </w:r>
    </w:p>
    <w:p>
      <w:pPr>
        <w:pStyle w:val="FirstParagraph"/>
      </w:pPr>
      <w:r>
        <w:t xml:space="preserve">Any agency network document written before mid-2026, including version</w:t>
      </w:r>
      <w:r>
        <w:t xml:space="preserve"> </w:t>
      </w:r>
      <w:r>
        <w:t xml:space="preserve">1.0 of this one, is likely to carry at least one of these: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OMB M-21-31 is rescinded.</w:t>
      </w:r>
      <w:r>
        <w:t xml:space="preserve"> </w:t>
      </w:r>
      <w:r>
        <w:t xml:space="preserve">M-26-14,</w:t>
      </w:r>
      <w:r>
        <w:t xml:space="preserve"> </w:t>
      </w:r>
      <w:r>
        <w:rPr>
          <w:i/>
          <w:iCs/>
        </w:rPr>
        <w:t xml:space="preserve">Ensuring Effective and</w:t>
      </w:r>
      <w:r>
        <w:rPr>
          <w:i/>
          <w:iCs/>
        </w:rPr>
        <w:t xml:space="preserve"> </w:t>
      </w:r>
      <w:r>
        <w:rPr>
          <w:i/>
          <w:iCs/>
        </w:rPr>
        <w:t xml:space="preserve">Efficient Agency Logging and Network Visibility</w:t>
      </w:r>
      <w:r>
        <w:t xml:space="preserve"> </w:t>
      </w:r>
      <w:r>
        <w:t xml:space="preserve">(22 May 2026),</w:t>
      </w:r>
      <w:r>
        <w:t xml:space="preserve"> </w:t>
      </w:r>
      <w:r>
        <w:t xml:space="preserve">states:</w:t>
      </w:r>
      <w:r>
        <w:t xml:space="preserve"> </w:t>
      </w:r>
      <w:r>
        <w:t xml:space="preserve">“Effective immediately, OMB Memorandum M-21-31 is</w:t>
      </w:r>
      <w:r>
        <w:t xml:space="preserve"> </w:t>
      </w:r>
      <w:r>
        <w:t xml:space="preserve">rescinded.”</w:t>
      </w:r>
      <w:r>
        <w:t xml:space="preserve"> </w:t>
      </w:r>
      <w:r>
        <w:t xml:space="preserve">The EL0–EL3 event-logging tiers no longer exist in</w:t>
      </w:r>
      <w:r>
        <w:t xml:space="preserve"> </w:t>
      </w:r>
      <w:r>
        <w:t xml:space="preserve">federal policy. They are replaced by risk-based scoping and a</w:t>
      </w:r>
      <w:r>
        <w:t xml:space="preserve"> </w:t>
      </w:r>
      <w:r>
        <w:t xml:space="preserve">five-level maturity model (0 Ineffective through 4 Optimal, scored</w:t>
      </w:r>
      <w:r>
        <w:t xml:space="preserve"> </w:t>
      </w:r>
      <w:r>
        <w:t xml:space="preserve">to the lowest watermark), with retention set at six months actively</w:t>
      </w:r>
      <w:r>
        <w:t xml:space="preserve"> </w:t>
      </w:r>
      <w:r>
        <w:t xml:space="preserve">searchable and one year retrievable. Agency logging plans are due</w:t>
      </w:r>
      <w:r>
        <w:t xml:space="preserve"> </w:t>
      </w:r>
      <w:r>
        <w:t xml:space="preserve">within 90 days of the release of CISA’s Logging Reference</w:t>
      </w:r>
      <w:r>
        <w:t xml:space="preserve"> </w:t>
      </w:r>
      <w:r>
        <w:t xml:space="preserve">Architecture, published in August 2026. Version 1.0 cited M-21-31 in</w:t>
      </w:r>
      <w:r>
        <w:t xml:space="preserve"> </w:t>
      </w:r>
      <w:r>
        <w:t xml:space="preserve">its reference list.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CISA BOD 22-01 and BOD 19-02 are revoked</w:t>
      </w:r>
      <w:r>
        <w:t xml:space="preserve"> </w:t>
      </w:r>
      <w:r>
        <w:t xml:space="preserve">by BOD 26-04,</w:t>
      </w:r>
      <w:r>
        <w:t xml:space="preserve"> </w:t>
      </w:r>
      <w:r>
        <w:rPr>
          <w:i/>
          <w:iCs/>
        </w:rPr>
        <w:t xml:space="preserve">Prioritizing Security Updates Based on Risk</w:t>
      </w:r>
      <w:r>
        <w:t xml:space="preserve"> </w:t>
      </w:r>
      <w:r>
        <w:t xml:space="preserve">(10 June 2026), which</w:t>
      </w:r>
      <w:r>
        <w:t xml:space="preserve"> </w:t>
      </w:r>
      <w:r>
        <w:t xml:space="preserve">replaces flat KEV remediation clocks with a four-variable risk model</w:t>
      </w:r>
      <w:r>
        <w:t xml:space="preserve"> </w:t>
      </w:r>
      <w:r>
        <w:t xml:space="preserve">selecting one of five remediation windows.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OMB M-22-09 remains operative, and all of its deadlines expired on</w:t>
      </w:r>
      <w:r>
        <w:rPr>
          <w:b/>
          <w:bCs/>
        </w:rPr>
        <w:t xml:space="preserve"> </w:t>
      </w:r>
      <w:r>
        <w:rPr>
          <w:b/>
          <w:bCs/>
        </w:rPr>
        <w:t xml:space="preserve">30 September 2024.</w:t>
      </w:r>
      <w:r>
        <w:t xml:space="preserve"> </w:t>
      </w:r>
      <w:r>
        <w:t xml:space="preserve">No successor has been issued. A document urging</w:t>
      </w:r>
      <w:r>
        <w:t xml:space="preserve"> </w:t>
      </w:r>
      <w:r>
        <w:t xml:space="preserve">agencies toward M-22-09 outcomes in late 2026 should say that rather</w:t>
      </w:r>
      <w:r>
        <w:t xml:space="preserve"> </w:t>
      </w:r>
      <w:r>
        <w:t xml:space="preserve">than implying a live clock.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EO 14028 remains in effect but was amended by EO 14306 (6 June</w:t>
      </w:r>
      <w:r>
        <w:rPr>
          <w:b/>
          <w:bCs/>
        </w:rPr>
        <w:t xml:space="preserve"> </w:t>
      </w:r>
      <w:r>
        <w:rPr>
          <w:b/>
          <w:bCs/>
        </w:rPr>
        <w:t xml:space="preserve">2025)</w:t>
      </w:r>
      <w:r>
        <w:t xml:space="preserve">, which also struck Section 5 of EO 14144 in its entirety.</w:t>
      </w:r>
    </w:p>
    <w:p>
      <w:pPr>
        <w:pStyle w:val="FirstParagraph"/>
      </w:pPr>
      <w:r>
        <w:rPr>
          <w:b/>
          <w:bCs/>
        </w:rPr>
        <w:t xml:space="preserve">The transport-contract picture also changed.</w:t>
      </w:r>
      <w:r>
        <w:t xml:space="preserve"> </w:t>
      </w:r>
      <w:r>
        <w:t xml:space="preserve">Networx expired 31 May</w:t>
      </w:r>
      <w:r>
        <w:t xml:space="preserve"> </w:t>
      </w:r>
      <w:r>
        <w:t xml:space="preserve">2026 and WITS 3 expired 28 February 2026; as of 31 July 2026, 214</w:t>
      </w:r>
      <w:r>
        <w:t xml:space="preserve"> </w:t>
      </w:r>
      <w:r>
        <w:t xml:space="preserve">agencies had completed transition to Enterprise Infrastructure Solutions</w:t>
      </w:r>
      <w:r>
        <w:t xml:space="preserve"> </w:t>
      </w:r>
      <w:r>
        <w:t xml:space="preserve">(EIS), whose first option period runs to 31 July 2027. An agency reading</w:t>
      </w:r>
      <w:r>
        <w:t xml:space="preserve"> </w:t>
      </w:r>
      <w:r>
        <w:t xml:space="preserve">a recommendation to</w:t>
      </w:r>
      <w:r>
        <w:t xml:space="preserve"> </w:t>
      </w:r>
      <w:r>
        <w:t xml:space="preserve">“exit MTIPS”</w:t>
      </w:r>
      <w:r>
        <w:t xml:space="preserve"> </w:t>
      </w:r>
      <w:r>
        <w:t xml:space="preserve">should understand that the vehicle</w:t>
      </w:r>
      <w:r>
        <w:t xml:space="preserve"> </w:t>
      </w:r>
      <w:r>
        <w:t xml:space="preserve">question has largely resolved itself; the remaining question is which</w:t>
      </w:r>
      <w:r>
        <w:t xml:space="preserve"> </w:t>
      </w:r>
      <w:r>
        <w:t xml:space="preserve">EIS services the agency has ordered, not which contract it is on.</w:t>
      </w:r>
    </w:p>
    <w:bookmarkEnd w:id="15"/>
    <w:bookmarkStart w:id="16" w:name="fedramp-does-not-constrain-your-routing"/>
    <w:p>
      <w:pPr>
        <w:pStyle w:val="Heading2"/>
      </w:pPr>
      <w:r>
        <w:t xml:space="preserve">2.6 FedRAMP does not constrain your routing</w:t>
      </w:r>
    </w:p>
    <w:p>
      <w:pPr>
        <w:pStyle w:val="FirstParagraph"/>
      </w:pPr>
      <w:r>
        <w:t xml:space="preserve">This was the strongest section of version 1.0 and it survives intact.</w:t>
      </w:r>
    </w:p>
    <w:p>
      <w:pPr>
        <w:pStyle w:val="BodyText"/>
      </w:pPr>
      <w:r>
        <w:t xml:space="preserve">FedRAMP authorizes cloud service offerings against NIST SP 800-53 Rev 5.</w:t>
      </w:r>
      <w:r>
        <w:t xml:space="preserve"> </w:t>
      </w:r>
      <w:r>
        <w:t xml:space="preserve">It governs the security posture of the service.</w:t>
      </w:r>
      <w:r>
        <w:t xml:space="preserve"> </w:t>
      </w:r>
      <w:r>
        <w:rPr>
          <w:b/>
          <w:bCs/>
        </w:rPr>
        <w:t xml:space="preserve">It says nothing about</w:t>
      </w:r>
      <w:r>
        <w:rPr>
          <w:b/>
          <w:bCs/>
        </w:rPr>
        <w:t xml:space="preserve"> </w:t>
      </w:r>
      <w:r>
        <w:rPr>
          <w:b/>
          <w:bCs/>
        </w:rPr>
        <w:t xml:space="preserve">the network topology an agency uses to reach that service.</w:t>
      </w:r>
      <w:r>
        <w:t xml:space="preserve"> </w:t>
      </w:r>
      <w:r>
        <w:t xml:space="preserve">FedRAMP</w:t>
      </w:r>
      <w:r>
        <w:t xml:space="preserve"> </w:t>
      </w:r>
      <w:r>
        <w:t xml:space="preserve">does not prohibit SD-WAN, does not require hairpin routing, and does not</w:t>
      </w:r>
      <w:r>
        <w:t xml:space="preserve"> </w:t>
      </w:r>
      <w:r>
        <w:t xml:space="preserve">mandate any particular path.</w:t>
      </w:r>
    </w:p>
    <w:p>
      <w:pPr>
        <w:pStyle w:val="BodyText"/>
      </w:pPr>
      <w:r>
        <w:t xml:space="preserve">Agencies nonetheless refuse SD-WAN on stated FedRAMP grounds. The</w:t>
      </w:r>
      <w:r>
        <w:t xml:space="preserve"> </w:t>
      </w:r>
      <w:r>
        <w:t xml:space="preserve">correct response to that position is a single question:</w:t>
      </w:r>
      <w:r>
        <w:t xml:space="preserve"> </w:t>
      </w:r>
      <w:r>
        <w:rPr>
          <w:i/>
          <w:iCs/>
        </w:rPr>
        <w:t xml:space="preserve">name the</w:t>
      </w:r>
      <w:r>
        <w:rPr>
          <w:i/>
          <w:iCs/>
        </w:rPr>
        <w:t xml:space="preserve"> </w:t>
      </w:r>
      <w:r>
        <w:rPr>
          <w:i/>
          <w:iCs/>
        </w:rPr>
        <w:t xml:space="preserve">control or control enhancement that SD-WAN violates.</w:t>
      </w:r>
      <w:r>
        <w:t xml:space="preserve"> </w:t>
      </w:r>
      <w:r>
        <w:t xml:space="preserve">There is none. An</w:t>
      </w:r>
      <w:r>
        <w:t xml:space="preserve"> </w:t>
      </w:r>
      <w:r>
        <w:t xml:space="preserve">architectural refusal with no identifiable control basis is a governance</w:t>
      </w:r>
      <w:r>
        <w:t xml:space="preserve"> </w:t>
      </w:r>
      <w:r>
        <w:t xml:space="preserve">failure in its own right, and it should be documented as one.</w:t>
      </w:r>
    </w:p>
    <w:p>
      <w:pPr>
        <w:pStyle w:val="BodyText"/>
      </w:pPr>
      <w:r>
        <w:t xml:space="preserve">Two corrections to how v1.0 stated this: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Drop the control count.</w:t>
      </w:r>
      <w:r>
        <w:t xml:space="preserve"> </w:t>
      </w:r>
      <w:r>
        <w:t xml:space="preserve">Version 1.0 said FedRAMP Moderate is</w:t>
      </w:r>
      <w:r>
        <w:t xml:space="preserve"> </w:t>
      </w:r>
      <w:r>
        <w:t xml:space="preserve">“approximately 325 security controls.”</w:t>
      </w:r>
      <w:r>
        <w:t xml:space="preserve"> </w:t>
      </w:r>
      <w:r>
        <w:t xml:space="preserve">325 is the Rev 4 figure; Rev</w:t>
      </w:r>
      <w:r>
        <w:t xml:space="preserve"> </w:t>
      </w:r>
      <w:r>
        <w:t xml:space="preserve">5 Moderate was published at 323. More to the point, FedRAMP Notice</w:t>
      </w:r>
      <w:r>
        <w:t xml:space="preserve"> </w:t>
      </w:r>
      <w:r>
        <w:t xml:space="preserve">0013 (16 June 2026) removed the vast majority of FedRAMP-assigned</w:t>
      </w:r>
      <w:r>
        <w:t xml:space="preserve"> </w:t>
      </w:r>
      <w:r>
        <w:t xml:space="preserve">control parameter values and nearly all FedRAMP-specific guidance</w:t>
      </w:r>
      <w:r>
        <w:t xml:space="preserve"> </w:t>
      </w:r>
      <w:r>
        <w:t xml:space="preserve">from the Rev 5 baselines, and no revised counts have been published.</w:t>
      </w:r>
      <w:r>
        <w:t xml:space="preserve"> </w:t>
      </w:r>
      <w:r>
        <w:rPr>
          <w:b/>
          <w:bCs/>
        </w:rPr>
        <w:t xml:space="preserve">No FedRAMP Moderate control count is currently citable.</w:t>
      </w:r>
      <w:r>
        <w:t xml:space="preserve"> </w:t>
      </w:r>
      <w:r>
        <w:t xml:space="preserve">Do not</w:t>
      </w:r>
      <w:r>
        <w:t xml:space="preserve"> </w:t>
      </w:r>
      <w:r>
        <w:t xml:space="preserve">cite one.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Note the vocabulary transition, and do not overstate it.</w:t>
      </w:r>
      <w:r>
        <w:t xml:space="preserve"> </w:t>
      </w:r>
      <w:r>
        <w:t xml:space="preserve">Under</w:t>
      </w:r>
      <w:r>
        <w:t xml:space="preserve"> </w:t>
      </w:r>
      <w:r>
        <w:t xml:space="preserve">the FedRAMP Consolidated Rules for 2026,</w:t>
      </w:r>
      <w:r>
        <w:t xml:space="preserve"> </w:t>
      </w:r>
      <w:r>
        <w:t xml:space="preserve">“authorization”</w:t>
      </w:r>
      <w:r>
        <w:t xml:space="preserve"> </w:t>
      </w:r>
      <w:r>
        <w:t xml:space="preserve">becomes</w:t>
      </w:r>
      <w:r>
        <w:t xml:space="preserve"> </w:t>
      </w:r>
      <w:r>
        <w:t xml:space="preserve">“certification”</w:t>
      </w:r>
      <w:r>
        <w:t xml:space="preserve"> </w:t>
      </w:r>
      <w:r>
        <w:t xml:space="preserve">and the Low/Moderate/High impact levels become</w:t>
      </w:r>
      <w:r>
        <w:t xml:space="preserve"> </w:t>
      </w:r>
      <w:r>
        <w:t xml:space="preserve">Certification Classes A through D (Class C corresponds to the former</w:t>
      </w:r>
      <w:r>
        <w:t xml:space="preserve"> </w:t>
      </w:r>
      <w:r>
        <w:t xml:space="preserve">Moderate).</w:t>
      </w:r>
      <w:r>
        <w:t xml:space="preserve"> </w:t>
      </w:r>
      <w:r>
        <w:rPr>
          <w:b/>
          <w:bCs/>
        </w:rPr>
        <w:t xml:space="preserve">4 July 2026 was the start of optional early adoption;</w:t>
      </w:r>
      <w:r>
        <w:rPr>
          <w:b/>
          <w:bCs/>
        </w:rPr>
        <w:t xml:space="preserve"> </w:t>
      </w:r>
      <w:r>
        <w:rPr>
          <w:b/>
          <w:bCs/>
        </w:rPr>
        <w:t xml:space="preserve">mandatory adoption is 1 January 2027.</w:t>
      </w:r>
      <w:r>
        <w:t xml:space="preserve"> </w:t>
      </w:r>
      <w:r>
        <w:t xml:space="preserve">Existing Rev 5</w:t>
      </w:r>
      <w:r>
        <w:t xml:space="preserve"> </w:t>
      </w:r>
      <w:r>
        <w:t xml:space="preserve">authorizations remain valid to at least 31 December 2028. Two things</w:t>
      </w:r>
      <w:r>
        <w:t xml:space="preserve"> </w:t>
      </w:r>
      <w:r>
        <w:t xml:space="preserve">widely said about this transition are not true and should not be</w:t>
      </w:r>
      <w:r>
        <w:t xml:space="preserve"> </w:t>
      </w:r>
      <w:r>
        <w:t xml:space="preserve">repeated: POA&amp;Ms were not eliminated — the rules retain them</w:t>
      </w:r>
      <w:r>
        <w:t xml:space="preserve"> </w:t>
      </w:r>
      <w:r>
        <w:t xml:space="preserve">explicitly for agencies — and</w:t>
      </w:r>
      <w:r>
        <w:t xml:space="preserve"> </w:t>
      </w:r>
      <w:r>
        <w:t xml:space="preserve">“continuous monitoring”</w:t>
      </w:r>
      <w:r>
        <w:t xml:space="preserve"> </w:t>
      </w:r>
      <w:r>
        <w:t xml:space="preserve">was not</w:t>
      </w:r>
      <w:r>
        <w:t xml:space="preserve"> </w:t>
      </w:r>
      <w:r>
        <w:t xml:space="preserve">renamed. This paper uses the pre-2026 vocabulary that agency</w:t>
      </w:r>
      <w:r>
        <w:t xml:space="preserve"> </w:t>
      </w:r>
      <w:r>
        <w:t xml:space="preserve">packages currently carry.</w:t>
      </w:r>
    </w:p>
    <w:bookmarkEnd w:id="16"/>
    <w:bookmarkEnd w:id="17"/>
    <w:bookmarkStart w:id="22" w:name="X5fff336e79ec4937b922b90825e6e0f128f73eb"/>
    <w:p>
      <w:pPr>
        <w:pStyle w:val="Heading1"/>
      </w:pPr>
      <w:r>
        <w:t xml:space="preserve">3. What Direct Internet Access does and does not give you</w:t>
      </w:r>
    </w:p>
    <w:bookmarkStart w:id="18" w:name="the-right-problem-half-solved"/>
    <w:p>
      <w:pPr>
        <w:pStyle w:val="Heading2"/>
      </w:pPr>
      <w:r>
        <w:t xml:space="preserve">3.1 The right problem, half solved</w:t>
      </w:r>
    </w:p>
    <w:p>
      <w:pPr>
        <w:pStyle w:val="FirstParagraph"/>
      </w:pPr>
      <w:r>
        <w:t xml:space="preserve">Direct Internet Access at the branch — local breakout to the internet,</w:t>
      </w:r>
      <w:r>
        <w:t xml:space="preserve"> </w:t>
      </w:r>
      <w:r>
        <w:t xml:space="preserve">with a SASE service providing secure web gateway, cloud access security</w:t>
      </w:r>
      <w:r>
        <w:t xml:space="preserve"> </w:t>
      </w:r>
      <w:r>
        <w:t xml:space="preserve">broker, firewall-as-a-service and zero trust network access functions at</w:t>
      </w:r>
      <w:r>
        <w:t xml:space="preserve"> </w:t>
      </w:r>
      <w:r>
        <w:t xml:space="preserve">a nearby point of presence — is the architecture TIC 3.0 was written</w:t>
      </w:r>
      <w:r>
        <w:t xml:space="preserve"> </w:t>
      </w:r>
      <w:r>
        <w:t xml:space="preserve">to permit. It removes the forced detour to a central inspection point.</w:t>
      </w:r>
      <w:r>
        <w:t xml:space="preserve"> </w:t>
      </w:r>
      <w:r>
        <w:t xml:space="preserve">Agencies adopting it are doing the right thing.</w:t>
      </w:r>
    </w:p>
    <w:p>
      <w:pPr>
        <w:pStyle w:val="BodyText"/>
      </w:pPr>
      <w:r>
        <w:t xml:space="preserve">What it changes is</w:t>
      </w:r>
      <w:r>
        <w:t xml:space="preserve"> </w:t>
      </w:r>
      <w:r>
        <w:rPr>
          <w:i/>
          <w:iCs/>
        </w:rPr>
        <w:t xml:space="preserve">where inspection happens</w:t>
      </w:r>
      <w:r>
        <w:t xml:space="preserve">. What it does not change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whether transport is governed</w:t>
      </w:r>
      <w:r>
        <w:t xml:space="preserve">.</w:t>
      </w:r>
    </w:p>
    <w:p>
      <w:pPr>
        <w:pStyle w:val="BodyText"/>
      </w:pPr>
      <w:r>
        <w:t xml:space="preserve">A branch with DIA and no branch-edge policy layer has:</w:t>
      </w:r>
    </w:p>
    <w:p>
      <w:pPr>
        <w:pStyle w:val="BodyText"/>
      </w:pPr>
      <w:r>
        <w:rPr>
          <w:b/>
          <w:bCs/>
        </w:rPr>
        <w:t xml:space="preserve">(a) No path selection.</w:t>
      </w:r>
      <w:r>
        <w:t xml:space="preserve"> </w:t>
      </w:r>
      <w:r>
        <w:t xml:space="preserve">One link is the path. If that link degrades</w:t>
      </w:r>
      <w:r>
        <w:t xml:space="preserve"> </w:t>
      </w:r>
      <w:r>
        <w:t xml:space="preserve">— latency, jitter, or partial loss short of a link-down event —</w:t>
      </w:r>
      <w:r>
        <w:t xml:space="preserve"> </w:t>
      </w:r>
      <w:r>
        <w:t xml:space="preserve">nothing at the branch detects the condition and moves traffic. A second</w:t>
      </w:r>
      <w:r>
        <w:t xml:space="preserve"> </w:t>
      </w:r>
      <w:r>
        <w:t xml:space="preserve">link, if one exists, sits idle as a cold standby.</w:t>
      </w:r>
    </w:p>
    <w:p>
      <w:pPr>
        <w:pStyle w:val="BodyText"/>
      </w:pPr>
      <w:r>
        <w:rPr>
          <w:b/>
          <w:bCs/>
        </w:rPr>
        <w:t xml:space="preserve">(b) No application awareness.</w:t>
      </w:r>
      <w:r>
        <w:t xml:space="preserve"> </w:t>
      </w:r>
      <w:r>
        <w:t xml:space="preserve">Interactive database traffic,</w:t>
      </w:r>
      <w:r>
        <w:t xml:space="preserve"> </w:t>
      </w:r>
      <w:r>
        <w:t xml:space="preserve">authentication exchanges, video conferencing, backup jobs and patch</w:t>
      </w:r>
      <w:r>
        <w:t xml:space="preserve"> </w:t>
      </w:r>
      <w:r>
        <w:t xml:space="preserve">downloads are forwarded identically. There is no per-application policy</w:t>
      </w:r>
      <w:r>
        <w:t xml:space="preserve"> </w:t>
      </w:r>
      <w:r>
        <w:t xml:space="preserve">and no differentiation between latency-sensitive and</w:t>
      </w:r>
      <w:r>
        <w:t xml:space="preserve"> </w:t>
      </w:r>
      <w:r>
        <w:t xml:space="preserve">throughput-sensitive flows.</w:t>
      </w:r>
    </w:p>
    <w:p>
      <w:pPr>
        <w:pStyle w:val="BodyText"/>
      </w:pPr>
      <w:r>
        <w:rPr>
          <w:b/>
          <w:bCs/>
        </w:rPr>
        <w:t xml:space="preserve">(c) No queue management before the WAN.</w:t>
      </w:r>
      <w:r>
        <w:t xml:space="preserve"> </w:t>
      </w:r>
      <w:r>
        <w:t xml:space="preserve">Quality of Service must be</w:t>
      </w:r>
      <w:r>
        <w:t xml:space="preserve"> </w:t>
      </w:r>
      <w:r>
        <w:t xml:space="preserve">applied where traffic enters the constrained link. Without a device at</w:t>
      </w:r>
      <w:r>
        <w:t xml:space="preserve"> </w:t>
      </w:r>
      <w:r>
        <w:t xml:space="preserve">that point, high-priority flows share an unmanaged queue with bulk</w:t>
      </w:r>
      <w:r>
        <w:t xml:space="preserve"> </w:t>
      </w:r>
      <w:r>
        <w:t xml:space="preserve">transfers, and the agency’s stated prioritization exists only in a</w:t>
      </w:r>
      <w:r>
        <w:t xml:space="preserve"> </w:t>
      </w:r>
      <w:r>
        <w:t xml:space="preserve">document.</w:t>
      </w:r>
    </w:p>
    <w:p>
      <w:pPr>
        <w:pStyle w:val="BodyText"/>
      </w:pPr>
      <w:r>
        <w:rPr>
          <w:b/>
          <w:bCs/>
        </w:rPr>
        <w:t xml:space="preserve">(d) No link aggregation.</w:t>
      </w:r>
      <w:r>
        <w:t xml:space="preserve"> </w:t>
      </w:r>
      <w:r>
        <w:t xml:space="preserve">Two circuits cannot be used concurrently,</w:t>
      </w:r>
      <w:r>
        <w:t xml:space="preserve"> </w:t>
      </w:r>
      <w:r>
        <w:t xml:space="preserve">and failover between them is manual or absent.</w:t>
      </w:r>
    </w:p>
    <w:p>
      <w:pPr>
        <w:pStyle w:val="BodyText"/>
      </w:pPr>
      <w:r>
        <w:rPr>
          <w:b/>
          <w:bCs/>
        </w:rPr>
        <w:t xml:space="preserve">(e) No per-application transport telemetry.</w:t>
      </w:r>
      <w:r>
        <w:t xml:space="preserve"> </w:t>
      </w:r>
      <w:r>
        <w:t xml:space="preserve">This is the one that</w:t>
      </w:r>
      <w:r>
        <w:t xml:space="preserve"> </w:t>
      </w:r>
      <w:r>
        <w:t xml:space="preserve">matters most for §2.4. Interface counters tell you a link was busy. They</w:t>
      </w:r>
      <w:r>
        <w:t xml:space="preserve"> </w:t>
      </w:r>
      <w:r>
        <w:t xml:space="preserve">do not tell you which application experienced which latency over which</w:t>
      </w:r>
      <w:r>
        <w:t xml:space="preserve"> </w:t>
      </w:r>
      <w:r>
        <w:t xml:space="preserve">path, which is what an SI-4 or CA-7 assertion about transport actually</w:t>
      </w:r>
      <w:r>
        <w:t xml:space="preserve"> </w:t>
      </w:r>
      <w:r>
        <w:t xml:space="preserve">needs.</w:t>
      </w:r>
    </w:p>
    <w:bookmarkEnd w:id="18"/>
    <w:bookmarkStart w:id="19" w:name="the-fallacy-stated-correctly"/>
    <w:p>
      <w:pPr>
        <w:pStyle w:val="Heading2"/>
      </w:pPr>
      <w:r>
        <w:t xml:space="preserve">3.2 The fallacy, stated correctly</w:t>
      </w:r>
    </w:p>
    <w:p>
      <w:pPr>
        <w:pStyle w:val="FirstParagraph"/>
      </w:pPr>
      <w:r>
        <w:t xml:space="preserve">The position this paper addresses is:</w:t>
      </w:r>
      <w:r>
        <w:t xml:space="preserve"> </w:t>
      </w:r>
      <w:r>
        <w:rPr>
          <w:i/>
          <w:iCs/>
        </w:rPr>
        <w:t xml:space="preserve">“We have local internet breakout</w:t>
      </w:r>
      <w:r>
        <w:rPr>
          <w:i/>
          <w:iCs/>
        </w:rPr>
        <w:t xml:space="preserve"> </w:t>
      </w:r>
      <w:r>
        <w:rPr>
          <w:i/>
          <w:iCs/>
        </w:rPr>
        <w:t xml:space="preserve">and a SASE service. SD-WAN is redundant, adds risk, or isn’t authorized</w:t>
      </w:r>
      <w:r>
        <w:rPr>
          <w:i/>
          <w:iCs/>
        </w:rPr>
        <w:t xml:space="preserve"> </w:t>
      </w:r>
      <w:r>
        <w:rPr>
          <w:i/>
          <w:iCs/>
        </w:rPr>
        <w:t xml:space="preserve">under our controls.”</w:t>
      </w:r>
    </w:p>
    <w:p>
      <w:pPr>
        <w:pStyle w:val="BodyText"/>
      </w:pPr>
      <w:r>
        <w:rPr>
          <w:b/>
          <w:bCs/>
        </w:rPr>
        <w:t xml:space="preserve">Redundant.</w:t>
      </w:r>
      <w:r>
        <w:t xml:space="preserve"> </w:t>
      </w:r>
      <w:r>
        <w:t xml:space="preserve">SASE inspects and enforces on traffic that has arrived at</w:t>
      </w:r>
      <w:r>
        <w:t xml:space="preserve"> </w:t>
      </w:r>
      <w:r>
        <w:t xml:space="preserve">the PoP. A branch-edge policy layer governs which traffic goes where,</w:t>
      </w:r>
      <w:r>
        <w:t xml:space="preserve"> </w:t>
      </w:r>
      <w:r>
        <w:t xml:space="preserve">over which link, with what priority, before it leaves the building. They</w:t>
      </w:r>
      <w:r>
        <w:t xml:space="preserve"> </w:t>
      </w:r>
      <w:r>
        <w:t xml:space="preserve">operate at different points on the path and neither substitutes for the</w:t>
      </w:r>
      <w:r>
        <w:t xml:space="preserve"> </w:t>
      </w:r>
      <w:r>
        <w:t xml:space="preserve">other. The security stack is complete; the transport layer under it is</w:t>
      </w:r>
      <w:r>
        <w:t xml:space="preserve"> </w:t>
      </w:r>
      <w:r>
        <w:t xml:space="preserve">not.</w:t>
      </w:r>
    </w:p>
    <w:p>
      <w:pPr>
        <w:pStyle w:val="BodyText"/>
      </w:pPr>
      <w:r>
        <w:rPr>
          <w:b/>
          <w:bCs/>
        </w:rPr>
        <w:t xml:space="preserve">Adds risk.</w:t>
      </w:r>
      <w:r>
        <w:t xml:space="preserve"> </w:t>
      </w:r>
      <w:r>
        <w:t xml:space="preserve">A branch-edge SD-WAN appliance is a network device with a</w:t>
      </w:r>
      <w:r>
        <w:t xml:space="preserve"> </w:t>
      </w:r>
      <w:r>
        <w:t xml:space="preserve">management plane, and that is a real attack surface — CISA issued</w:t>
      </w:r>
      <w:r>
        <w:t xml:space="preserve"> </w:t>
      </w:r>
      <w:r>
        <w:t xml:space="preserve">Emergency Directive 26-03 on 26 February 2026 covering vulnerabilities</w:t>
      </w:r>
      <w:r>
        <w:t xml:space="preserve"> </w:t>
      </w:r>
      <w:r>
        <w:t xml:space="preserve">in Cisco SD-WAN systems, which is exactly the kind of exposure this</w:t>
      </w:r>
      <w:r>
        <w:t xml:space="preserve"> </w:t>
      </w:r>
      <w:r>
        <w:t xml:space="preserve">objection anticipates. The honest answer is not that the risk is zero.</w:t>
      </w:r>
      <w:r>
        <w:t xml:space="preserve"> </w:t>
      </w:r>
      <w:r>
        <w:t xml:space="preserve">It is that the branch already has a router with a management plane, that</w:t>
      </w:r>
      <w:r>
        <w:t xml:space="preserve"> </w:t>
      </w:r>
      <w:r>
        <w:t xml:space="preserve">the replacement produces telemetry and enforces auditable policy the</w:t>
      </w:r>
      <w:r>
        <w:t xml:space="preserve"> </w:t>
      </w:r>
      <w:r>
        <w:t xml:space="preserve">incumbent does not, and that the device must be brought under the</w:t>
      </w:r>
      <w:r>
        <w:t xml:space="preserve"> </w:t>
      </w:r>
      <w:r>
        <w:t xml:space="preserve">agency’s normal vulnerability management — now governed by BOD 26-04’s</w:t>
      </w:r>
      <w:r>
        <w:t xml:space="preserve"> </w:t>
      </w:r>
      <w:r>
        <w:t xml:space="preserve">risk-based remediation windows — like any other internet-reachable</w:t>
      </w:r>
      <w:r>
        <w:t xml:space="preserve"> </w:t>
      </w:r>
      <w:r>
        <w:t xml:space="preserve">infrastructure. An agency that cannot patch a branch appliance within</w:t>
      </w:r>
      <w:r>
        <w:t xml:space="preserve"> </w:t>
      </w:r>
      <w:r>
        <w:t xml:space="preserve">BOD 26-04’s windows has a different problem, and should solve that one</w:t>
      </w:r>
      <w:r>
        <w:t xml:space="preserve"> </w:t>
      </w:r>
      <w:r>
        <w:t xml:space="preserve">first.</w:t>
      </w:r>
    </w:p>
    <w:p>
      <w:pPr>
        <w:pStyle w:val="BodyText"/>
      </w:pPr>
      <w:r>
        <w:rPr>
          <w:b/>
          <w:bCs/>
        </w:rPr>
        <w:t xml:space="preserve">Not authorized.</w:t>
      </w:r>
      <w:r>
        <w:t xml:space="preserve"> </w:t>
      </w:r>
      <w:r>
        <w:t xml:space="preserve">See §2.6. Name the control.</w:t>
      </w:r>
    </w:p>
    <w:bookmarkEnd w:id="19"/>
    <w:bookmarkStart w:id="20" w:name="the-architectures"/>
    <w:p>
      <w:pPr>
        <w:pStyle w:val="Heading2"/>
      </w:pPr>
      <w:r>
        <w:t xml:space="preserve">3.3 The architectures</w:t>
      </w:r>
    </w:p>
    <w:p>
      <w:pPr>
        <w:pStyle w:val="FirstParagraph"/>
      </w:pPr>
      <w:r>
        <w:rPr>
          <w:b/>
          <w:bCs/>
        </w:rPr>
        <w:t xml:space="preserve">Common deployment — inspection without transport governance:</w:t>
      </w:r>
    </w:p>
    <w:p>
      <w:pPr>
        <w:pStyle w:val="BodyText"/>
      </w:pPr>
      <w:r>
        <w:t xml:space="preserve">Branch users</w:t>
      </w:r>
      <w:r>
        <w:t xml:space="preserve"> </w:t>
      </w:r>
      <w:r>
        <w:t xml:space="preserve">|</w:t>
      </w:r>
      <w:r>
        <w:t xml:space="preserve"> </w:t>
      </w:r>
      <w:r>
        <w:t xml:space="preserve">| static router: no application steering, no QoS,</w:t>
      </w:r>
      <w:r>
        <w:t xml:space="preserve"> </w:t>
      </w:r>
      <w:r>
        <w:t xml:space="preserve">| no path health monitoring, no failover, no per-app telemetry</w:t>
      </w:r>
      <w:r>
        <w:t xml:space="preserve"> </w:t>
      </w:r>
      <w:r>
        <w:t xml:space="preserve">|</w:t>
      </w:r>
      <w:r>
        <w:t xml:space="preserve"> </w:t>
      </w:r>
      <w:r>
        <w:t xml:space="preserve">Local internet breakout (DIA)</w:t>
      </w:r>
      <w:r>
        <w:t xml:space="preserve"> </w:t>
      </w:r>
      <w:r>
        <w:t xml:space="preserve">|</w:t>
      </w:r>
      <w:r>
        <w:t xml:space="preserve"> </w:t>
      </w:r>
      <w:r>
        <w:t xml:space="preserve">SASE PoP — SWG / CASB / FWaaS / ZTNA</w:t>
      </w:r>
      <w:r>
        <w:t xml:space="preserve"> </w:t>
      </w:r>
      <w:r>
        <w:t xml:space="preserve">|</w:t>
      </w:r>
      <w:r>
        <w:t xml:space="preserve"> </w:t>
      </w:r>
      <w:r>
        <w:t xml:space="preserve">Cloud services · agency applications · internet</w:t>
      </w:r>
    </w:p>
    <w:p>
      <w:pPr>
        <w:pStyle w:val="BodyText"/>
      </w:pPr>
      <w:r>
        <w:rPr>
          <w:b/>
          <w:bCs/>
        </w:rPr>
        <w:t xml:space="preserve">With a branch-edge policy layer:</w:t>
      </w:r>
    </w:p>
    <w:p>
      <w:pPr>
        <w:pStyle w:val="BodyText"/>
      </w:pPr>
      <w:r>
        <w:t xml:space="preserve">Branch users</w:t>
      </w:r>
      <w:r>
        <w:t xml:space="preserve"> </w:t>
      </w:r>
      <w:r>
        <w:t xml:space="preserve">|</w:t>
      </w:r>
      <w:r>
        <w:t xml:space="preserve"> </w:t>
      </w:r>
      <w:r>
        <w:t xml:space="preserve">| branch edge: application-aware steering, QoS,</w:t>
      </w:r>
      <w:r>
        <w:t xml:space="preserve"> </w:t>
      </w:r>
      <w:r>
        <w:t xml:space="preserve">| continuous path health measurement, sub-second failover,</w:t>
      </w:r>
      <w:r>
        <w:t xml:space="preserve"> </w:t>
      </w:r>
      <w:r>
        <w:t xml:space="preserve">| per-application path telemetry</w:t>
      </w:r>
      <w:r>
        <w:t xml:space="preserve"> </w:t>
      </w:r>
      <w:r>
        <w:t xml:space="preserve">|</w:t>
      </w:r>
      <w:r>
        <w:t xml:space="preserve"> </w:t>
      </w:r>
      <w:r>
        <w:t xml:space="preserve">DIA (primary) —— second circuit or LTE/5G (secondary)</w:t>
      </w:r>
      <w:r>
        <w:t xml:space="preserve"> </w:t>
      </w:r>
      <w:r>
        <w:t xml:space="preserve">| |</w:t>
      </w:r>
      <w:r>
        <w:t xml:space="preserve"> </w:t>
      </w:r>
      <w:r>
        <w:t xml:space="preserve">+————————+</w:t>
      </w:r>
      <w:r>
        <w:t xml:space="preserve"> </w:t>
      </w:r>
      <w:r>
        <w:t xml:space="preserve">|</w:t>
      </w:r>
      <w:r>
        <w:t xml:space="preserve"> </w:t>
      </w:r>
      <w:r>
        <w:t xml:space="preserve">SASE PoP — SWG / CASB / FWaaS / ZTNA</w:t>
      </w:r>
      <w:r>
        <w:t xml:space="preserve"> </w:t>
      </w:r>
      <w:r>
        <w:t xml:space="preserve">|</w:t>
      </w:r>
      <w:r>
        <w:t xml:space="preserve"> </w:t>
      </w:r>
      <w:r>
        <w:t xml:space="preserve">Cloud services · agency applications · internet</w:t>
      </w:r>
    </w:p>
    <w:p>
      <w:pPr>
        <w:pStyle w:val="BodyText"/>
      </w:pPr>
      <w:r>
        <w:t xml:space="preserve">The second diagram is not more secure than the first at the PoP. It is</w:t>
      </w:r>
      <w:r>
        <w:t xml:space="preserve"> </w:t>
      </w:r>
      <w:r>
        <w:t xml:space="preserve">governed and measurable between the user and the PoP, which the first is</w:t>
      </w:r>
      <w:r>
        <w:t xml:space="preserve"> </w:t>
      </w:r>
      <w:r>
        <w:t xml:space="preserve">not — and that stretch is the most variable, most user-proximate and</w:t>
      </w:r>
      <w:r>
        <w:t xml:space="preserve"> </w:t>
      </w:r>
      <w:r>
        <w:t xml:space="preserve">least instrumented part of the path.</w:t>
      </w:r>
    </w:p>
    <w:bookmarkEnd w:id="20"/>
    <w:bookmarkStart w:id="21" w:name="procurement-note"/>
    <w:p>
      <w:pPr>
        <w:pStyle w:val="Heading2"/>
      </w:pPr>
      <w:r>
        <w:t xml:space="preserve">3.4 Procurement note</w:t>
      </w:r>
    </w:p>
    <w:p>
      <w:pPr>
        <w:pStyle w:val="FirstParagraph"/>
      </w:pPr>
      <w:r>
        <w:t xml:space="preserve">If an agency does acquire a branch-edge layer as part of a SASE</w:t>
      </w:r>
      <w:r>
        <w:t xml:space="preserve"> </w:t>
      </w:r>
      <w:r>
        <w:t xml:space="preserve">procurement, the FedRAMP status of the candidates is not uniform, and it</w:t>
      </w:r>
      <w:r>
        <w:t xml:space="preserve"> </w:t>
      </w:r>
      <w:r>
        <w:t xml:space="preserve">is worth knowing before a requirement is written. As of this revision:</w:t>
      </w:r>
      <w:r>
        <w:t xml:space="preserve"> </w:t>
      </w:r>
      <w:r>
        <w:t xml:space="preserve">Palo Alto Networks’ Network Security Platform (including Prisma Access,</w:t>
      </w:r>
      <w:r>
        <w:t xml:space="preserve"> </w:t>
      </w:r>
      <w:r>
        <w:t xml:space="preserve">Prisma SASE and Prisma SD-WAN) holds FedRAMP High (19 December 2024) and</w:t>
      </w:r>
      <w:r>
        <w:t xml:space="preserve"> </w:t>
      </w:r>
      <w:r>
        <w:t xml:space="preserve">a DoD IL5 provisional authorization; Zscaler ZIA and ZPA hold FedRAMP</w:t>
      </w:r>
      <w:r>
        <w:t xml:space="preserve"> </w:t>
      </w:r>
      <w:r>
        <w:t xml:space="preserve">High (1 August 2022); Netskope GovCloud holds FedRAMP High (9 January</w:t>
      </w:r>
      <w:r>
        <w:t xml:space="preserve"> </w:t>
      </w:r>
      <w:r>
        <w:t xml:space="preserve">2024);</w:t>
      </w:r>
      <w:r>
        <w:t xml:space="preserve"> </w:t>
      </w:r>
      <w:r>
        <w:rPr>
          <w:b/>
          <w:bCs/>
        </w:rPr>
        <w:t xml:space="preserve">Cisco Meraki for Government, including its SD-WAN capability,</w:t>
      </w:r>
      <w:r>
        <w:rPr>
          <w:b/>
          <w:bCs/>
        </w:rPr>
        <w:t xml:space="preserve"> </w:t>
      </w:r>
      <w:r>
        <w:rPr>
          <w:b/>
          <w:bCs/>
        </w:rPr>
        <w:t xml:space="preserve">holds FedRAMP Moderate (25 February 2025)</w:t>
      </w:r>
      <w:r>
        <w:t xml:space="preserve"> </w:t>
      </w:r>
      <w:r>
        <w:t xml:space="preserve">— not High. Impact levels</w:t>
      </w:r>
      <w:r>
        <w:t xml:space="preserve"> </w:t>
      </w:r>
      <w:r>
        <w:t xml:space="preserve">for Cisco Umbrella for Government and Cisco SD-WAN for Government could</w:t>
      </w:r>
      <w:r>
        <w:t xml:space="preserve"> </w:t>
      </w:r>
      <w:r>
        <w:t xml:space="preserve">not be verified for this revision.</w:t>
      </w:r>
    </w:p>
    <w:bookmarkEnd w:id="21"/>
    <w:bookmarkEnd w:id="22"/>
    <w:bookmarkStart w:id="26" w:name="Xa1be234c0d360fcea187d473928c5be0fab9816"/>
    <w:p>
      <w:pPr>
        <w:pStyle w:val="Heading1"/>
      </w:pPr>
      <w:r>
        <w:t xml:space="preserve">4. Legacy protocols on proxied and re-routed paths</w:t>
      </w:r>
    </w:p>
    <w:p>
      <w:pPr>
        <w:pStyle w:val="FirstParagraph"/>
      </w:pPr>
      <w:r>
        <w:t xml:space="preserve">This section was substantially wrong in version 1.0. The phenomenon it</w:t>
      </w:r>
      <w:r>
        <w:t xml:space="preserve"> </w:t>
      </w:r>
      <w:r>
        <w:t xml:space="preserve">describes is real; the mechanisms it gave were not.</w:t>
      </w:r>
    </w:p>
    <w:bookmarkStart w:id="23" w:name="what-actually-breaks"/>
    <w:p>
      <w:pPr>
        <w:pStyle w:val="Heading2"/>
      </w:pPr>
      <w:r>
        <w:t xml:space="preserve">4.1 What actually breaks</w:t>
      </w:r>
    </w:p>
    <w:p>
      <w:pPr>
        <w:pStyle w:val="FirstParagraph"/>
      </w:pPr>
      <w:r>
        <w:t xml:space="preserve">Long-lived, stateful sessions do fail more often when an enforcement</w:t>
      </w:r>
      <w:r>
        <w:t xml:space="preserve"> </w:t>
      </w:r>
      <w:r>
        <w:t xml:space="preserve">point sits in the path and when the path itself changes. They fail for</w:t>
      </w:r>
      <w:r>
        <w:t xml:space="preserve"> </w:t>
      </w:r>
      <w:r>
        <w:t xml:space="preserve">these reasons: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Connection resets and proxy idle timeouts.</w:t>
      </w:r>
      <w:r>
        <w:t xml:space="preserve"> </w:t>
      </w:r>
      <w:r>
        <w:t xml:space="preserve">An enforcement point</w:t>
      </w:r>
      <w:r>
        <w:t xml:space="preserve"> </w:t>
      </w:r>
      <w:r>
        <w:t xml:space="preserve">that terminates and re-originates connections holds state on both</w:t>
      </w:r>
      <w:r>
        <w:t xml:space="preserve"> </w:t>
      </w:r>
      <w:r>
        <w:t xml:space="preserve">sides and reaps idle connections on its own schedule. A database</w:t>
      </w:r>
      <w:r>
        <w:t xml:space="preserve"> </w:t>
      </w:r>
      <w:r>
        <w:t xml:space="preserve">connection pool or a thick client that assumes an indefinitely idle</w:t>
      </w:r>
      <w:r>
        <w:t xml:space="preserve"> </w:t>
      </w:r>
      <w:r>
        <w:t xml:space="preserve">connection stays open will find it closed.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End-to-end mutual TLS and certificate pinning.</w:t>
      </w:r>
      <w:r>
        <w:t xml:space="preserve"> </w:t>
      </w:r>
      <w:r>
        <w:t xml:space="preserve">A client that</w:t>
      </w:r>
      <w:r>
        <w:t xml:space="preserve"> </w:t>
      </w:r>
      <w:r>
        <w:t xml:space="preserve">pins a server certificate, or a protocol requiring mutual TLS end to</w:t>
      </w:r>
      <w:r>
        <w:t xml:space="preserve"> </w:t>
      </w:r>
      <w:r>
        <w:t xml:space="preserve">end, cannot tolerate an inspecting proxy. This is a genuine</w:t>
      </w:r>
      <w:r>
        <w:t xml:space="preserve"> </w:t>
      </w:r>
      <w:r>
        <w:t xml:space="preserve">incompatibility, not a tuning problem.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Applications that assume a stable client source address.</w:t>
      </w:r>
      <w:r>
        <w:t xml:space="preserve"> </w:t>
      </w:r>
      <w:r>
        <w:t xml:space="preserve">Some</w:t>
      </w:r>
      <w:r>
        <w:t xml:space="preserve"> </w:t>
      </w:r>
      <w:r>
        <w:t xml:space="preserve">legacy applications key session state, licensing or authorization to</w:t>
      </w:r>
      <w:r>
        <w:t xml:space="preserve"> </w:t>
      </w:r>
      <w:r>
        <w:t xml:space="preserve">the client IP. Behind a SASE PoP the client presents the PoP’s</w:t>
      </w:r>
      <w:r>
        <w:t xml:space="preserve"> </w:t>
      </w:r>
      <w:r>
        <w:t xml:space="preserve">address, and it may present a different one after a PoP change.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Protocols the enforcement point cannot parse.</w:t>
      </w:r>
      <w:r>
        <w:t xml:space="preserve"> </w:t>
      </w:r>
      <w:r>
        <w:t xml:space="preserve">Non-HTTP protocols</w:t>
      </w:r>
      <w:r>
        <w:t xml:space="preserve"> </w:t>
      </w:r>
      <w:r>
        <w:t xml:space="preserve">may be passed through untouched, blocked, or handled by a generic</w:t>
      </w:r>
      <w:r>
        <w:t xml:space="preserve"> </w:t>
      </w:r>
      <w:r>
        <w:t xml:space="preserve">proxy that behaves differently from the endpoints’ expectations.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Path changes that alter the effective MTU or reorder packets</w:t>
      </w:r>
      <w:r>
        <w:t xml:space="preserve">,</w:t>
      </w:r>
      <w:r>
        <w:t xml:space="preserve"> </w:t>
      </w:r>
      <w:r>
        <w:t xml:space="preserve">which surface as throughput collapse rather than as an outage and</w:t>
      </w:r>
      <w:r>
        <w:t xml:space="preserve"> </w:t>
      </w:r>
      <w:r>
        <w:t xml:space="preserve">are correspondingly hard to diagnose.</w:t>
      </w:r>
    </w:p>
    <w:p>
      <w:pPr>
        <w:pStyle w:val="FirstParagraph"/>
      </w:pPr>
      <w:r>
        <w:rPr>
          <w:b/>
          <w:bCs/>
        </w:rPr>
        <w:t xml:space="preserve">What does not happen:</w:t>
      </w:r>
      <w:r>
        <w:t xml:space="preserve"> </w:t>
      </w:r>
      <w:r>
        <w:t xml:space="preserve">a path change does not cause TCP</w:t>
      </w:r>
      <w:r>
        <w:t xml:space="preserve"> </w:t>
      </w:r>
      <w:r>
        <w:t xml:space="preserve">sequence-number discontinuity. Sequence numbers are properties of the</w:t>
      </w:r>
      <w:r>
        <w:t xml:space="preserve"> </w:t>
      </w:r>
      <w:r>
        <w:t xml:space="preserve">two endpoints and are unaffected by the route packets take. Version 1.0</w:t>
      </w:r>
      <w:r>
        <w:t xml:space="preserve"> </w:t>
      </w:r>
      <w:r>
        <w:t xml:space="preserve">asserted the opposite as fact, in the body and again in the glossary,</w:t>
      </w:r>
      <w:r>
        <w:t xml:space="preserve"> </w:t>
      </w:r>
      <w:r>
        <w:t xml:space="preserve">and built on it the claim that</w:t>
      </w:r>
      <w:r>
        <w:t xml:space="preserve"> </w:t>
      </w:r>
      <w:r>
        <w:t xml:space="preserve">“a proactive SD-WAN switch preserves the</w:t>
      </w:r>
      <w:r>
        <w:t xml:space="preserve"> </w:t>
      </w:r>
      <w:r>
        <w:t xml:space="preserve">TCP session; a reactive static-router reroute terminates it.”</w:t>
      </w:r>
      <w:r>
        <w:t xml:space="preserve"> </w:t>
      </w:r>
      <w:r>
        <w:t xml:space="preserve">Neither is</w:t>
      </w:r>
      <w:r>
        <w:t xml:space="preserve"> </w:t>
      </w:r>
      <w:r>
        <w:t xml:space="preserve">true as a general statement. A re-route that changes the client’s</w:t>
      </w:r>
      <w:r>
        <w:t xml:space="preserve"> </w:t>
      </w:r>
      <w:r>
        <w:rPr>
          <w:i/>
          <w:iCs/>
        </w:rPr>
        <w:t xml:space="preserve">apparent source address</w:t>
      </w:r>
      <w:r>
        <w:t xml:space="preserve"> </w:t>
      </w:r>
      <w:r>
        <w:t xml:space="preserve">— because the new path egresses through a</w:t>
      </w:r>
      <w:r>
        <w:t xml:space="preserve"> </w:t>
      </w:r>
      <w:r>
        <w:t xml:space="preserve">different NAT — will break established connections; a re-route that</w:t>
      </w:r>
      <w:r>
        <w:t xml:space="preserve"> </w:t>
      </w:r>
      <w:r>
        <w:t xml:space="preserve">does not change the source address the server sees generally will not.</w:t>
      </w:r>
      <w:r>
        <w:t xml:space="preserve"> </w:t>
      </w:r>
      <w:r>
        <w:rPr>
          <w:b/>
          <w:bCs/>
        </w:rPr>
        <w:t xml:space="preserve">The distinction is address continuity, not sequence continuity</w:t>
      </w:r>
      <w:r>
        <w:t xml:space="preserve">, and</w:t>
      </w:r>
      <w:r>
        <w:t xml:space="preserve"> </w:t>
      </w:r>
      <w:r>
        <w:t xml:space="preserve">stating it correctly makes the case for deterministic egress policy</w:t>
      </w:r>
      <w:r>
        <w:t xml:space="preserve"> </w:t>
      </w:r>
      <w:r>
        <w:t xml:space="preserve">stronger rather than weaker.</w:t>
      </w:r>
    </w:p>
    <w:bookmarkEnd w:id="23"/>
    <w:bookmarkStart w:id="24" w:name="kerberos-the-real-dependencies"/>
    <w:p>
      <w:pPr>
        <w:pStyle w:val="Heading2"/>
      </w:pPr>
      <w:r>
        <w:t xml:space="preserve">4.2 Kerberos: the real dependencies</w:t>
      </w:r>
    </w:p>
    <w:p>
      <w:pPr>
        <w:pStyle w:val="FirstParagraph"/>
      </w:pPr>
      <w:r>
        <w:t xml:space="preserve">Version 1.0 claimed that Microsoft KDCs record the client IP in the</w:t>
      </w:r>
      <w:r>
        <w:t xml:space="preserve"> </w:t>
      </w:r>
      <w:r>
        <w:t xml:space="preserve">ticket, validate it on subsequent requests, and therefore reject tickets</w:t>
      </w:r>
      <w:r>
        <w:t xml:space="preserve"> </w:t>
      </w:r>
      <w:r>
        <w:t xml:space="preserve">when SNAT at a SASE PoP changes the apparent source address — a</w:t>
      </w:r>
      <w:r>
        <w:t xml:space="preserve"> </w:t>
      </w:r>
      <w:r>
        <w:t xml:space="preserve">failure mode it called</w:t>
      </w:r>
      <w:r>
        <w:t xml:space="preserve"> </w:t>
      </w:r>
      <w:r>
        <w:t xml:space="preserve">“the Kerberos source IP binding problem”</w:t>
      </w:r>
      <w:r>
        <w:t xml:space="preserve"> </w:t>
      </w:r>
      <w:r>
        <w:t xml:space="preserve">and made</w:t>
      </w:r>
      <w:r>
        <w:t xml:space="preserve"> </w:t>
      </w:r>
      <w:r>
        <w:t xml:space="preserve">the subject of a formal recommendation.</w:t>
      </w:r>
    </w:p>
    <w:p>
      <w:pPr>
        <w:pStyle w:val="BodyText"/>
      </w:pPr>
      <w:r>
        <w:rPr>
          <w:b/>
          <w:bCs/>
        </w:rPr>
        <w:t xml:space="preserve">This does not occur under Microsoft’s defaults.</w:t>
      </w:r>
      <w:r>
        <w:t xml:space="preserve"> </w:t>
      </w:r>
      <w:r>
        <w:t xml:space="preserve">RFC 4120 permits but</w:t>
      </w:r>
      <w:r>
        <w:t xml:space="preserve"> </w:t>
      </w:r>
      <w:r>
        <w:t xml:space="preserve">does not require the client address field (</w:t>
      </w:r>
      <w:r>
        <w:rPr>
          <w:rStyle w:val="VerbatimChar"/>
        </w:rPr>
        <w:t xml:space="preserve">caddr</w:t>
      </w:r>
      <w:r>
        <w:t xml:space="preserve">) in a ticket, and</w:t>
      </w:r>
      <w:r>
        <w:t xml:space="preserve"> </w:t>
      </w:r>
      <w:r>
        <w:t xml:space="preserve">Windows does not use it:</w:t>
      </w:r>
      <w:r>
        <w:t xml:space="preserve"> </w:t>
      </w:r>
      <w:r>
        <w:rPr>
          <w:rStyle w:val="VerbatimChar"/>
        </w:rPr>
        <w:t xml:space="preserve">KdcUseClientAddresses</w:t>
      </w:r>
      <w:r>
        <w:t xml:space="preserve">, which controls whether</w:t>
      </w:r>
      <w:r>
        <w:t xml:space="preserve"> </w:t>
      </w:r>
      <w:r>
        <w:t xml:space="preserve">IP addresses are added in the TGS reply, defaults to</w:t>
      </w:r>
      <w:r>
        <w:t xml:space="preserve"> </w:t>
      </w:r>
      <w:r>
        <w:rPr>
          <w:b/>
          <w:bCs/>
        </w:rPr>
        <w:t xml:space="preserve">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, which controls whether addresses are checked,</w:t>
      </w:r>
      <w:r>
        <w:t xml:space="preserve"> </w:t>
      </w:r>
      <w:r>
        <w:t xml:space="preserve">defaults to</w:t>
      </w:r>
      <w:r>
        <w:t xml:space="preserve"> </w:t>
      </w:r>
      <w:r>
        <w:rPr>
          <w:b/>
          <w:bCs/>
        </w:rPr>
        <w:t xml:space="preserve">1</w:t>
      </w:r>
      <w:r>
        <w:t xml:space="preserve">. The client-side</w:t>
      </w:r>
      <w:r>
        <w:t xml:space="preserve"> </w:t>
      </w:r>
      <w:r>
        <w:rPr>
          <w:rStyle w:val="VerbatimChar"/>
        </w:rPr>
        <w:t xml:space="preserve">ClientIpAddresses</w:t>
      </w:r>
      <w:r>
        <w:t xml:space="preserve"> </w:t>
      </w:r>
      <w:r>
        <w:t xml:space="preserve">setting defaults</w:t>
      </w:r>
      <w:r>
        <w:t xml:space="preserve"> </w:t>
      </w:r>
      <w:r>
        <w:t xml:space="preserve">to false. Windows KDCs neither populate nor enforce the field. This is</w:t>
      </w:r>
      <w:r>
        <w:t xml:space="preserve"> </w:t>
      </w:r>
      <w:r>
        <w:t xml:space="preserve">precisely why Kerberos works across NAT in ordinary deployments. Nor is</w:t>
      </w:r>
      <w:r>
        <w:t xml:space="preserve"> </w:t>
      </w:r>
      <w:r>
        <w:t xml:space="preserve">address checking a KDC function in the general case — under RFC 4120</w:t>
      </w:r>
      <w:r>
        <w:t xml:space="preserve"> </w:t>
      </w:r>
      <w:r>
        <w:t xml:space="preserve">it is the application server that would compare addresses, if anyone</w:t>
      </w:r>
      <w:r>
        <w:t xml:space="preserve"> </w:t>
      </w:r>
      <w:r>
        <w:t xml:space="preserve">did.</w:t>
      </w:r>
    </w:p>
    <w:p>
      <w:pPr>
        <w:pStyle w:val="BodyText"/>
      </w:pPr>
      <w:r>
        <w:t xml:space="preserve">Two further corrections. Version 1.0 stated elsewhere in the corpus that</w:t>
      </w:r>
      <w:r>
        <w:t xml:space="preserve"> </w:t>
      </w:r>
      <w:r>
        <w:t xml:space="preserve">Active Directory expects sub-5-millisecond round trips to a domain</w:t>
      </w:r>
      <w:r>
        <w:t xml:space="preserve"> </w:t>
      </w:r>
      <w:r>
        <w:t xml:space="preserve">controller and that a</w:t>
      </w:r>
      <w:r>
        <w:t xml:space="preserve"> </w:t>
      </w:r>
      <w:r>
        <w:t xml:space="preserve">“5 ms Kerberos timeout”</w:t>
      </w:r>
      <w:r>
        <w:t xml:space="preserve"> </w:t>
      </w:r>
      <w:r>
        <w:t xml:space="preserve">is the failure threshold.</w:t>
      </w:r>
      <w:r>
        <w:t xml:space="preserve"> </w:t>
      </w:r>
      <w:r>
        <w:rPr>
          <w:b/>
          <w:bCs/>
        </w:rPr>
        <w:t xml:space="preserve">No such requirement exists.</w:t>
      </w:r>
      <w:r>
        <w:t xml:space="preserve"> </w:t>
      </w:r>
      <w:r>
        <w:t xml:space="preserve">The 5-minute figure it appears to derive</w:t>
      </w:r>
      <w:r>
        <w:t xml:space="preserve"> </w:t>
      </w:r>
      <w:r>
        <w:t xml:space="preserve">from is Kerberos clock-skew tolerance (</w:t>
      </w:r>
      <w:r>
        <w:rPr>
          <w:rStyle w:val="VerbatimChar"/>
        </w:rPr>
        <w:t xml:space="preserve">SkewTime</w:t>
      </w:r>
      <w:r>
        <w:t xml:space="preserve">, default 5 minutes)</w:t>
      </w:r>
      <w:r>
        <w:t xml:space="preserve"> </w:t>
      </w:r>
      <w:r>
        <w:t xml:space="preserve">— a factor-of-60,000 conflation. And Kerberos default lifetimes are</w:t>
      </w:r>
      <w:r>
        <w:t xml:space="preserve"> </w:t>
      </w:r>
      <w:r>
        <w:t xml:space="preserve">generous, not tight: a ticket-granting ticket lasts 10 hours with 7-day</w:t>
      </w:r>
      <w:r>
        <w:t xml:space="preserve"> </w:t>
      </w:r>
      <w:r>
        <w:t xml:space="preserve">renewal, and service tickets 600 minutes. Kerberos tolerates latency and</w:t>
      </w:r>
      <w:r>
        <w:t xml:space="preserve"> </w:t>
      </w:r>
      <w:r>
        <w:t xml:space="preserve">path change far better than its reputation suggests.</w:t>
      </w:r>
    </w:p>
    <w:p>
      <w:pPr>
        <w:pStyle w:val="BodyText"/>
      </w:pPr>
      <w:r>
        <w:rPr>
          <w:b/>
          <w:bCs/>
        </w:rPr>
        <w:t xml:space="preserve">What genuinely requires reachable domain controllers</w:t>
      </w:r>
      <w:r>
        <w:t xml:space="preserve"> </w:t>
      </w:r>
      <w:r>
        <w:t xml:space="preserve">is a short,</w:t>
      </w:r>
      <w:r>
        <w:t xml:space="preserve"> </w:t>
      </w:r>
      <w:r>
        <w:t xml:space="preserve">specific list, and it is the list an agency should design around: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Initial TGT acquisition at logon</w:t>
      </w:r>
      <w:r>
        <w:t xml:space="preserve">, including the first sign-in on</w:t>
      </w:r>
      <w:r>
        <w:t xml:space="preserve"> </w:t>
      </w:r>
      <w:r>
        <w:t xml:space="preserve">a device.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Group Policy retrieval from SYSVOL.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Password changes</w:t>
      </w:r>
      <w:r>
        <w:t xml:space="preserve">, including expiry-forced changes, which cannot</w:t>
      </w:r>
      <w:r>
        <w:t xml:space="preserve"> </w:t>
      </w:r>
      <w:r>
        <w:t xml:space="preserve">be satisfied from cached credentials.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Microsoft Entra hybrid join registration</w:t>
      </w:r>
      <w:r>
        <w:t xml:space="preserve">, for which Microsoft</w:t>
      </w:r>
      <w:r>
        <w:t xml:space="preserve"> </w:t>
      </w:r>
      <w:r>
        <w:t xml:space="preserve">documents a requirement for network line of sight to on-premises</w:t>
      </w:r>
      <w:r>
        <w:t xml:space="preserve"> </w:t>
      </w:r>
      <w:r>
        <w:t xml:space="preserve">domain controllers.</w:t>
      </w:r>
    </w:p>
    <w:p>
      <w:pPr>
        <w:pStyle w:val="FirstParagraph"/>
      </w:pPr>
      <w:r>
        <w:t xml:space="preserve">A branch on local internet breakout whose domain controllers sit in a</w:t>
      </w:r>
      <w:r>
        <w:t xml:space="preserve"> </w:t>
      </w:r>
      <w:r>
        <w:t xml:space="preserve">datacenter reaches them over whatever private path or ZTNA connector the</w:t>
      </w:r>
      <w:r>
        <w:t xml:space="preserve"> </w:t>
      </w:r>
      <w:r>
        <w:t xml:space="preserve">agency has provided — not over the SASE PoP’s internet egress — so</w:t>
      </w:r>
      <w:r>
        <w:t xml:space="preserve"> </w:t>
      </w:r>
      <w:r>
        <w:t xml:space="preserve">an architecture that overlooks that path breaks logon, policy and</w:t>
      </w:r>
      <w:r>
        <w:t xml:space="preserve"> </w:t>
      </w:r>
      <w:r>
        <w:t xml:space="preserve">password change while leaving cloud applications working. That asymmetry</w:t>
      </w:r>
      <w:r>
        <w:t xml:space="preserve"> </w:t>
      </w:r>
      <w:r>
        <w:t xml:space="preserve">is what produces the characteristic report of</w:t>
      </w:r>
      <w:r>
        <w:t xml:space="preserve"> </w:t>
      </w:r>
      <w:r>
        <w:t xml:space="preserve">“everything works except</w:t>
      </w:r>
      <w:r>
        <w:t xml:space="preserve"> </w:t>
      </w:r>
      <w:r>
        <w:t xml:space="preserve">signing in,”</w:t>
      </w:r>
      <w:r>
        <w:t xml:space="preserve"> </w:t>
      </w:r>
      <w:r>
        <w:t xml:space="preserve">and it is a design question worth naming explicitly at</w:t>
      </w:r>
      <w:r>
        <w:t xml:space="preserve"> </w:t>
      </w:r>
      <w:r>
        <w:t xml:space="preserve">every branch.</w:t>
      </w:r>
    </w:p>
    <w:p>
      <w:pPr>
        <w:pStyle w:val="BodyText"/>
      </w:pPr>
      <w:r>
        <w:rPr>
          <w:b/>
          <w:bCs/>
        </w:rPr>
        <w:t xml:space="preserve">Corrected remediation.</w:t>
      </w:r>
      <w:r>
        <w:t xml:space="preserve"> </w:t>
      </w:r>
      <w:r>
        <w:t xml:space="preserve">The audit that version 1.0 recommended asked</w:t>
      </w:r>
      <w:r>
        <w:t xml:space="preserve"> </w:t>
      </w:r>
      <w:r>
        <w:t xml:space="preserve">the wrong question. The right one has three parts: (a) confirm whether</w:t>
      </w:r>
      <w:r>
        <w:t xml:space="preserve"> </w:t>
      </w:r>
      <w:r>
        <w:t xml:space="preserve">any hardening baseline applied in the estate has set</w:t>
      </w:r>
      <w:r>
        <w:t xml:space="preserve"> </w:t>
      </w:r>
      <w:r>
        <w:rPr>
          <w:rStyle w:val="VerbatimChar"/>
        </w:rPr>
        <w:t xml:space="preserve">KdcUseClientAddresses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 </w:t>
      </w:r>
      <w:r>
        <w:t xml:space="preserve">away from their</w:t>
      </w:r>
      <w:r>
        <w:t xml:space="preserve"> </w:t>
      </w:r>
      <w:r>
        <w:t xml:space="preserve">defaults — if so, that non-default setting, not the network, is the</w:t>
      </w:r>
      <w:r>
        <w:t xml:space="preserve"> </w:t>
      </w:r>
      <w:r>
        <w:t xml:space="preserve">exposure and it should be reconsidered; (b) confirm that every branch</w:t>
      </w:r>
      <w:r>
        <w:t xml:space="preserve"> </w:t>
      </w:r>
      <w:r>
        <w:t xml:space="preserve">has a defined, monitored path to a domain controller for the four</w:t>
      </w:r>
      <w:r>
        <w:t xml:space="preserve"> </w:t>
      </w:r>
      <w:r>
        <w:t xml:space="preserve">operations above; and (c) where applications key state to a client</w:t>
      </w:r>
      <w:r>
        <w:t xml:space="preserve"> </w:t>
      </w:r>
      <w:r>
        <w:t xml:space="preserve">source address, establish a deterministic egress policy so those</w:t>
      </w:r>
      <w:r>
        <w:t xml:space="preserve"> </w:t>
      </w:r>
      <w:r>
        <w:t xml:space="preserve">applications see a stable address. Only (c) is a transport-layer remedy,</w:t>
      </w:r>
      <w:r>
        <w:t xml:space="preserve"> </w:t>
      </w:r>
      <w:r>
        <w:t xml:space="preserve">and it is the one a branch-edge policy layer actually delivers.</w:t>
      </w:r>
    </w:p>
    <w:bookmarkEnd w:id="24"/>
    <w:bookmarkStart w:id="25" w:name="round-trips-decomposed-honestly"/>
    <w:p>
      <w:pPr>
        <w:pStyle w:val="Heading2"/>
      </w:pPr>
      <w:r>
        <w:t xml:space="preserve">4.3 Round trips, decomposed honestly</w:t>
      </w:r>
    </w:p>
    <w:p>
      <w:pPr>
        <w:pStyle w:val="FirstParagraph"/>
      </w:pPr>
      <w:r>
        <w:t xml:space="preserve">Chatty database access over a long path is a real problem and the</w:t>
      </w:r>
      <w:r>
        <w:t xml:space="preserve"> </w:t>
      </w:r>
      <w:r>
        <w:t xml:space="preserve">arithmetic is worth doing — carefully, because version 1.0’s</w:t>
      </w:r>
      <w:r>
        <w:t xml:space="preserve"> </w:t>
      </w:r>
      <w:r>
        <w:t xml:space="preserve">conclusion does not follow from its own inputs.</w:t>
      </w:r>
    </w:p>
    <w:p>
      <w:pPr>
        <w:pStyle w:val="BodyText"/>
      </w:pPr>
      <w:r>
        <w:t xml:space="preserve">Take a branch office with one-way latency of 20–30 ms to its inspection</w:t>
      </w:r>
      <w:r>
        <w:t xml:space="preserve"> </w:t>
      </w:r>
      <w:r>
        <w:t xml:space="preserve">or breakout point and 40–60 ms from there to the cloud region.</w:t>
      </w:r>
      <w:r>
        <w:t xml:space="preserve"> </w:t>
      </w:r>
      <w:r>
        <w:t xml:space="preserve">Round-trip time for a single query is then roughly</w:t>
      </w:r>
      <w:r>
        <w:t xml:space="preserve"> </w:t>
      </w:r>
      <w:r>
        <w:rPr>
          <w:b/>
          <w:bCs/>
        </w:rPr>
        <w:t xml:space="preserve">120–180 ms</w:t>
      </w:r>
      <w:r>
        <w:t xml:space="preserve">. A</w:t>
      </w:r>
      <w:r>
        <w:t xml:space="preserve"> </w:t>
      </w:r>
      <w:r>
        <w:t xml:space="preserve">transaction that issues 30 sequential queries incurs</w:t>
      </w:r>
      <w:r>
        <w:t xml:space="preserve"> </w:t>
      </w:r>
      <w:r>
        <w:rPr>
          <w:b/>
          <w:bCs/>
        </w:rPr>
        <w:t xml:space="preserve">3.6–5.4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 </w:t>
      </w:r>
      <w:r>
        <w:t xml:space="preserve">of purely network-attributable latency before any database</w:t>
      </w:r>
      <w:r>
        <w:t xml:space="preserve"> </w:t>
      </w:r>
      <w:r>
        <w:t xml:space="preserve">work. That much is right, and it is the reason chatty applications feel</w:t>
      </w:r>
      <w:r>
        <w:t xml:space="preserve"> </w:t>
      </w:r>
      <w:r>
        <w:t xml:space="preserve">broken from branch offices.</w:t>
      </w:r>
    </w:p>
    <w:p>
      <w:pPr>
        <w:pStyle w:val="BodyText"/>
      </w:pPr>
      <w:r>
        <w:t xml:space="preserve">Version 1.0 then claimed that</w:t>
      </w:r>
      <w:r>
        <w:t xml:space="preserve"> </w:t>
      </w:r>
      <w:r>
        <w:t xml:space="preserve">“SD-WAN-optimized direct-to-SASE-PoP</w:t>
      </w:r>
      <w:r>
        <w:t xml:space="preserve"> </w:t>
      </w:r>
      <w:r>
        <w:t xml:space="preserve">routing at 25 ms RTT”</w:t>
      </w:r>
      <w:r>
        <w:t xml:space="preserve"> </w:t>
      </w:r>
      <w:r>
        <w:t xml:space="preserve">reduces the same transaction to 750 ms —</w:t>
      </w:r>
      <w:r>
        <w:t xml:space="preserve"> </w:t>
      </w:r>
      <w:r>
        <w:rPr>
          <w:b/>
          <w:bCs/>
        </w:rPr>
        <w:t xml:space="preserve">a 6×</w:t>
      </w:r>
      <w:r>
        <w:rPr>
          <w:b/>
          <w:bCs/>
        </w:rPr>
        <w:t xml:space="preserve"> </w:t>
      </w:r>
      <w:r>
        <w:rPr>
          <w:b/>
          <w:bCs/>
        </w:rPr>
        <w:t xml:space="preserve">improvement.</w:t>
      </w:r>
      <w:r>
        <w:t xml:space="preserve"> </w:t>
      </w:r>
      <w:r>
        <w:t xml:space="preserve">That cannot happen. The path has two legs, and a</w:t>
      </w:r>
      <w:r>
        <w:t xml:space="preserve"> </w:t>
      </w:r>
      <w:r>
        <w:t xml:space="preserve">branch-edge device operates on the first one only. The leg from the PoP</w:t>
      </w:r>
      <w:r>
        <w:t xml:space="preserve"> </w:t>
      </w:r>
      <w:r>
        <w:t xml:space="preserve">to the cloud region is set by geography and by the provider’s backbone;</w:t>
      </w:r>
      <w:r>
        <w:t xml:space="preserve"> </w:t>
      </w:r>
      <w:r>
        <w:t xml:space="preserve">no branch appliance deletes it. Reaching 25 ms round trip end to end</w:t>
      </w:r>
      <w:r>
        <w:t xml:space="preserve"> </w:t>
      </w:r>
      <w:r>
        <w:t xml:space="preserve">would require the cloud region to be roughly as close as the PoP.</w:t>
      </w:r>
    </w:p>
    <w:p>
      <w:pPr>
        <w:pStyle w:val="BodyText"/>
      </w:pPr>
      <w:r>
        <w:t xml:space="preserve">The honest decomposition:</w:t>
      </w:r>
    </w:p>
    <w:tbl>
      <w:tblPr>
        <w:tblStyle w:val="Table"/>
        <w:tblW w:type="pct" w:w="4940"/>
        <w:tblLayout w:type="fixed"/>
        <w:tblLook w:firstRow="1" w:lastRow="0" w:firstColumn="0" w:lastColumn="0" w:noHBand="0" w:noVBand="0" w:val="0020"/>
      </w:tblPr>
      <w:tblGrid>
        <w:gridCol w:w="2357"/>
        <w:gridCol w:w="1225"/>
        <w:gridCol w:w="1320"/>
        <w:gridCol w:w="292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Component Baseline Best c</w:t>
            </w:r>
            <w:r>
              <w:t xml:space="preserve"> </w:t>
            </w:r>
            <w:r>
              <w:t xml:space="preserve">(one way) with</w:t>
            </w:r>
            <w:r>
              <w:t xml:space="preserve"> </w:t>
            </w:r>
            <w:r>
              <w:t xml:space="preserve">branch-edge</w:t>
            </w:r>
            <w:r>
              <w:t xml:space="preserve"> </w:t>
            </w:r>
            <w:r>
              <w:t xml:space="preserve">policy +</w:t>
            </w:r>
            <w:r>
              <w:t xml:space="preserve"> </w:t>
            </w:r>
            <w:r>
              <w:t xml:space="preserve">nearer</w:t>
            </w:r>
            <w:r>
              <w:t xml:space="preserve"> </w:t>
            </w:r>
            <w:r>
              <w:t xml:space="preserve">breakout</w:t>
            </w:r>
          </w:p>
        </w:tc>
        <w:tc>
          <w:tcPr/>
          <w:p>
            <w:pPr>
              <w:pStyle w:val="Compact"/>
            </w:pPr>
            <w:r>
              <w:t xml:space="preserve">ase What chan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Branch → enforcement 20–</w:t>
            </w:r>
            <w:r>
              <w:t xml:space="preserve"> </w:t>
            </w:r>
            <w:r>
              <w:t xml:space="preserve">point PoP; better link se</w:t>
            </w:r>
          </w:p>
        </w:tc>
        <w:tc>
          <w:tcPr/>
          <w:p>
            <w:pPr>
              <w:pStyle w:val="Compact"/>
            </w:pPr>
            <w:r>
              <w:t xml:space="preserve">30 ms 5–15 m</w:t>
            </w:r>
            <w:r>
              <w:t xml:space="preserve"> </w:t>
            </w:r>
            <w:r>
              <w:t xml:space="preserve">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 Local breako</w:t>
            </w:r>
          </w:p>
        </w:tc>
        <w:tc>
          <w:tcPr/>
          <w:p>
            <w:pPr>
              <w:pStyle w:val="Compact"/>
            </w:pPr>
            <w:r>
              <w:t xml:space="preserve">ut to a nearer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Enforcement point → 40–6</w:t>
            </w:r>
            <w:r>
              <w:t xml:space="preserve"> </w:t>
            </w:r>
            <w:r>
              <w:t xml:space="preserve">cloud backbone.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</w:t>
            </w:r>
            <w:r>
              <w:t xml:space="preserve"> </w:t>
            </w:r>
            <w:r>
              <w:t xml:space="preserve">device</w:t>
            </w:r>
          </w:p>
        </w:tc>
        <w:tc>
          <w:tcPr/>
          <w:p>
            <w:pPr>
              <w:pStyle w:val="Compact"/>
            </w:pPr>
            <w:r>
              <w:t xml:space="preserve">0 ms 40–60 m</w:t>
            </w:r>
            <w:r>
              <w:t xml:space="preserve"> </w:t>
            </w:r>
            <w:r>
              <w:t xml:space="preserve">he branch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 Cloud region</w:t>
            </w:r>
          </w:p>
        </w:tc>
        <w:tc>
          <w:tcPr/>
          <w:p>
            <w:pPr>
              <w:pStyle w:val="Compact"/>
            </w:pPr>
            <w:r>
              <w:t xml:space="preserve">choice; provider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Round-trip total</w:t>
            </w:r>
            <w:r>
              <w:t xml:space="preserve"> </w:t>
            </w:r>
            <w:r>
              <w:rPr>
                <w:b/>
                <w:bCs/>
              </w:rPr>
              <w:t xml:space="preserve">12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ms</w:t>
            </w:r>
            <w:r>
              <w:t xml:space="preserve"> </w:t>
            </w:r>
            <w:r>
              <w:t xml:space="preserve">ms**</w:t>
            </w:r>
          </w:p>
        </w:tc>
        <w:tc>
          <w:tcPr/>
          <w:p>
            <w:pPr>
              <w:pStyle w:val="Compact"/>
            </w:pPr>
            <w:r>
              <w:t xml:space="preserve">0–180 **90–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30-query transaction</w:t>
            </w:r>
            <w:r>
              <w:t xml:space="preserve"> </w:t>
            </w:r>
            <w:r>
              <w:t xml:space="preserve">s** s**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3.6–5.4</w:t>
            </w:r>
            <w:r>
              <w:rPr>
                <w:b/>
                <w:bCs/>
              </w:rP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2.7–4.5 **≈20</w:t>
            </w:r>
          </w:p>
        </w:tc>
        <w:tc>
          <w:tcPr/>
          <w:p>
            <w:pPr>
              <w:pStyle w:val="Compact"/>
            </w:pPr>
            <w:r>
              <w:t xml:space="preserve">–25% improvement**</w:t>
            </w:r>
          </w:p>
        </w:tc>
      </w:tr>
    </w:tbl>
    <w:p>
      <w:pPr>
        <w:pStyle w:val="BodyText"/>
      </w:pPr>
      <w:r>
        <w:rPr>
          <w:i/>
          <w:iCs/>
        </w:rPr>
        <w:t xml:space="preserve">Inputs stated so they can be replaced: 30 sequential round trips per</w:t>
      </w:r>
      <w:r>
        <w:rPr>
          <w:i/>
          <w:iCs/>
        </w:rPr>
        <w:t xml:space="preserve"> </w:t>
      </w:r>
      <w:r>
        <w:rPr>
          <w:i/>
          <w:iCs/>
        </w:rPr>
        <w:t xml:space="preserve">transaction; one-way leg latencies as shown; no application change.</w:t>
      </w:r>
      <w:r>
        <w:rPr>
          <w:i/>
          <w:iCs/>
        </w:rPr>
        <w:t xml:space="preserve"> </w:t>
      </w:r>
      <w:r>
        <w:rPr>
          <w:i/>
          <w:iCs/>
        </w:rPr>
        <w:t xml:space="preserve">Substitute measured values from your own estate.</w:t>
      </w:r>
    </w:p>
    <w:p>
      <w:pPr>
        <w:pStyle w:val="BodyText"/>
      </w:pPr>
      <w:r>
        <w:t xml:space="preserve">Twenty to twenty-five percent is worth having, and it is what the</w:t>
      </w:r>
      <w:r>
        <w:t xml:space="preserve"> </w:t>
      </w:r>
      <w:r>
        <w:t xml:space="preserve">intervention delivers. The larger number is elsewhere:</w:t>
      </w:r>
      <w:r>
        <w:t xml:space="preserve"> </w:t>
      </w:r>
      <w:r>
        <w:rPr>
          <w:b/>
          <w:bCs/>
        </w:rPr>
        <w:t xml:space="preserve">reducing the</w:t>
      </w:r>
      <w:r>
        <w:rPr>
          <w:b/>
          <w:bCs/>
        </w:rPr>
        <w:t xml:space="preserve"> </w:t>
      </w:r>
      <w:r>
        <w:rPr>
          <w:b/>
          <w:bCs/>
        </w:rPr>
        <w:t xml:space="preserve">transaction from 30 sequential round trips to 3 — through batching,</w:t>
      </w:r>
      <w:r>
        <w:rPr>
          <w:b/>
          <w:bCs/>
        </w:rPr>
        <w:t xml:space="preserve"> </w:t>
      </w:r>
      <w:r>
        <w:rPr>
          <w:b/>
          <w:bCs/>
        </w:rPr>
        <w:t xml:space="preserve">stored procedures, or a server-side API — takes the same transaction</w:t>
      </w:r>
      <w:r>
        <w:rPr>
          <w:b/>
          <w:bCs/>
        </w:rPr>
        <w:t xml:space="preserve"> </w:t>
      </w:r>
      <w:r>
        <w:rPr>
          <w:b/>
          <w:bCs/>
        </w:rPr>
        <w:t xml:space="preserve">to 270–540 ms, roughly an order of magnitude.</w:t>
      </w:r>
      <w:r>
        <w:t xml:space="preserve"> </w:t>
      </w:r>
      <w:r>
        <w:t xml:space="preserve">Network work and</w:t>
      </w:r>
      <w:r>
        <w:t xml:space="preserve"> </w:t>
      </w:r>
      <w:r>
        <w:t xml:space="preserve">application work are not competing options here; the application change</w:t>
      </w:r>
      <w:r>
        <w:t xml:space="preserve"> </w:t>
      </w:r>
      <w:r>
        <w:t xml:space="preserve">dominates, and any business case that offers transport modernization as</w:t>
      </w:r>
      <w:r>
        <w:t xml:space="preserve"> </w:t>
      </w:r>
      <w:r>
        <w:t xml:space="preserve">the remedy for chattiness invites a reviewer to point that out.</w:t>
      </w:r>
    </w:p>
    <w:p>
      <w:pPr>
        <w:pStyle w:val="BodyText"/>
      </w:pPr>
      <w:r>
        <w:t xml:space="preserve">There is one case where the network intervention is much larger than</w:t>
      </w:r>
      <w:r>
        <w:t xml:space="preserve"> </w:t>
      </w:r>
      <w:r>
        <w:t xml:space="preserve">25%, and it should be stated because it is the case many agencies are</w:t>
      </w:r>
      <w:r>
        <w:t xml:space="preserve"> </w:t>
      </w:r>
      <w:r>
        <w:t xml:space="preserve">actually in: an architecture still hairpinning cross-country to a</w:t>
      </w:r>
      <w:r>
        <w:t xml:space="preserve"> </w:t>
      </w:r>
      <w:r>
        <w:t xml:space="preserve">central access point before reaching a cloud region has a first leg of</w:t>
      </w:r>
      <w:r>
        <w:t xml:space="preserve"> </w:t>
      </w:r>
      <w:r>
        <w:t xml:space="preserve">40–60 ms one way rather than 20–30. Replacing that with local breakout</w:t>
      </w:r>
      <w:r>
        <w:t xml:space="preserve"> </w:t>
      </w:r>
      <w:r>
        <w:t xml:space="preserve">to a nearby PoP is the DIA change this paper takes as given — and it</w:t>
      </w:r>
      <w:r>
        <w:t xml:space="preserve"> </w:t>
      </w:r>
      <w:r>
        <w:t xml:space="preserve">is where most of the available latency recovery already happened. The</w:t>
      </w:r>
      <w:r>
        <w:t xml:space="preserve"> </w:t>
      </w:r>
      <w:r>
        <w:t xml:space="preserve">branch-edge layer this paper argues for is worth roughly the increment</w:t>
      </w:r>
      <w:r>
        <w:t xml:space="preserve"> </w:t>
      </w:r>
      <w:r>
        <w:t xml:space="preserve">in the table above, plus the governance and telemetry properties in</w:t>
      </w:r>
      <w:r>
        <w:t xml:space="preserve"> </w:t>
      </w:r>
      <w:r>
        <w:t xml:space="preserve">§3.1, which are the actual reason to do it.</w:t>
      </w:r>
    </w:p>
    <w:bookmarkEnd w:id="25"/>
    <w:bookmarkEnd w:id="26"/>
    <w:bookmarkStart w:id="29" w:name="Xdaf2014fe7d0b9a6189acd48e45de4444719340"/>
    <w:p>
      <w:pPr>
        <w:pStyle w:val="Heading1"/>
      </w:pPr>
      <w:r>
        <w:t xml:space="preserve">5. Token-based access and continuous verification</w:t>
      </w:r>
    </w:p>
    <w:bookmarkStart w:id="27" w:name="what-the-policy-actually-says"/>
    <w:p>
      <w:pPr>
        <w:pStyle w:val="Heading2"/>
      </w:pPr>
      <w:r>
        <w:t xml:space="preserve">5.1 What the policy actually says</w:t>
      </w:r>
    </w:p>
    <w:p>
      <w:pPr>
        <w:pStyle w:val="FirstParagraph"/>
      </w:pPr>
      <w:r>
        <w:t xml:space="preserve">Token-based authentication is the identity and access mechanism for</w:t>
      </w:r>
      <w:r>
        <w:t xml:space="preserve"> </w:t>
      </w:r>
      <w:r>
        <w:t xml:space="preserve">modern federal applications: OAuth 2.0 and OpenID Connect tokens from</w:t>
      </w:r>
      <w:r>
        <w:t xml:space="preserve"> </w:t>
      </w:r>
      <w:r>
        <w:t xml:space="preserve">agency identity providers and Login.gov, SAML assertions from federation</w:t>
      </w:r>
      <w:r>
        <w:t xml:space="preserve"> </w:t>
      </w:r>
      <w:r>
        <w:t xml:space="preserve">services, and session tokens issued by ZTNA enforcement points. OMB</w:t>
      </w:r>
      <w:r>
        <w:t xml:space="preserve"> </w:t>
      </w:r>
      <w:r>
        <w:t xml:space="preserve">M-22-09 requires phishing-resistant multi-factor authentication and</w:t>
      </w:r>
      <w:r>
        <w:t xml:space="preserve"> </w:t>
      </w:r>
      <w:r>
        <w:t xml:space="preserve">identity-based access policy rather than network-perimeter trust.</w:t>
      </w:r>
      <w:r>
        <w:t xml:space="preserve"> </w:t>
      </w:r>
      <w:r>
        <w:t xml:space="preserve">Executive Order 14028, as amended by EO 14306, is the instrument M-22-09</w:t>
      </w:r>
      <w:r>
        <w:t xml:space="preserve"> </w:t>
      </w:r>
      <w:r>
        <w:t xml:space="preserve">implements.</w:t>
      </w:r>
    </w:p>
    <w:p>
      <w:pPr>
        <w:pStyle w:val="BodyText"/>
      </w:pPr>
      <w:r>
        <w:rPr>
          <w:b/>
          <w:bCs/>
        </w:rPr>
        <w:t xml:space="preserve">M-22-09 mandates no token lifetime.</w:t>
      </w:r>
      <w:r>
        <w:t xml:space="preserve"> </w:t>
      </w:r>
      <w:r>
        <w:t xml:space="preserve">Version 1.0 twice asserted</w:t>
      </w:r>
      <w:r>
        <w:t xml:space="preserve"> </w:t>
      </w:r>
      <w:r>
        <w:t xml:space="preserve">“the</w:t>
      </w:r>
      <w:r>
        <w:t xml:space="preserve"> </w:t>
      </w:r>
      <w:r>
        <w:t xml:space="preserve">15-minute token refresh cycles mandated by M-22-09”</w:t>
      </w:r>
      <w:r>
        <w:t xml:space="preserve"> </w:t>
      </w:r>
      <w:r>
        <w:t xml:space="preserve">and built its Zero</w:t>
      </w:r>
      <w:r>
        <w:t xml:space="preserve"> </w:t>
      </w:r>
      <w:r>
        <w:t xml:space="preserve">Trust prerequisite claim on it. The memorandum contains no such mandate;</w:t>
      </w:r>
      <w:r>
        <w:t xml:space="preserve"> </w:t>
      </w:r>
      <w:r>
        <w:t xml:space="preserve">its only treatment of reauthentication is permissive and risk-triggered.</w:t>
      </w:r>
      <w:r>
        <w:t xml:space="preserve"> </w:t>
      </w:r>
      <w:r>
        <w:t xml:space="preserve">A reviewer who checks this finds nothing, and the section that depends</w:t>
      </w:r>
      <w:r>
        <w:t xml:space="preserve"> </w:t>
      </w:r>
      <w:r>
        <w:t xml:space="preserve">on it falls.</w:t>
      </w:r>
    </w:p>
    <w:p>
      <w:pPr>
        <w:pStyle w:val="BodyText"/>
      </w:pPr>
      <w:r>
        <w:rPr>
          <w:b/>
          <w:bCs/>
        </w:rPr>
        <w:t xml:space="preserve">What does set intervals</w:t>
      </w:r>
      <w:r>
        <w:t xml:space="preserve"> </w:t>
      </w:r>
      <w:r>
        <w:t xml:space="preserve">is NIST SP 800-63B-4, final 31 July 2025,</w:t>
      </w:r>
      <w:r>
        <w:t xml:space="preserve"> </w:t>
      </w:r>
      <w:r>
        <w:t xml:space="preserve">which specifies reauthentication at 30 days for AAL1, 24 hours (or one</w:t>
      </w:r>
      <w:r>
        <w:t xml:space="preserve"> </w:t>
      </w:r>
      <w:r>
        <w:t xml:space="preserve">hour of inactivity) for AAL2, and 12 hours (or 15 minutes of inactivity)</w:t>
      </w:r>
      <w:r>
        <w:t xml:space="preserve"> </w:t>
      </w:r>
      <w:r>
        <w:t xml:space="preserve">for AAL3. On the platform side, Microsoft issues access tokens with a</w:t>
      </w:r>
      <w:r>
        <w:t xml:space="preserve"> </w:t>
      </w:r>
      <w:r>
        <w:t xml:space="preserve">one-hour default lifetime, extended to as much as 28 hours in Continuous</w:t>
      </w:r>
      <w:r>
        <w:t xml:space="preserve"> </w:t>
      </w:r>
      <w:r>
        <w:t xml:space="preserve">Access Evaluation sessions, where revocation is driven by critical-event</w:t>
      </w:r>
      <w:r>
        <w:t xml:space="preserve"> </w:t>
      </w:r>
      <w:r>
        <w:t xml:space="preserve">signals rather than by expiry — with up to 15 minutes of event</w:t>
      </w:r>
      <w:r>
        <w:t xml:space="preserve"> </w:t>
      </w:r>
      <w:r>
        <w:t xml:space="preserve">propagation latency, though IP-location policy enforcement is immediate.</w:t>
      </w:r>
    </w:p>
    <w:p>
      <w:pPr>
        <w:pStyle w:val="BodyText"/>
      </w:pPr>
      <w:r>
        <w:t xml:space="preserve">That is a more useful frame than v1.0’s, and it changes the argument’s</w:t>
      </w:r>
      <w:r>
        <w:t xml:space="preserve"> </w:t>
      </w:r>
      <w:r>
        <w:t xml:space="preserve">shape. Zero Trust did not abolish sessions; it made them revocable. The</w:t>
      </w:r>
      <w:r>
        <w:t xml:space="preserve"> </w:t>
      </w:r>
      <w:r>
        <w:t xml:space="preserve">design question at the branch is not how to survive a 15-minute refresh</w:t>
      </w:r>
      <w:r>
        <w:t xml:space="preserve"> </w:t>
      </w:r>
      <w:r>
        <w:t xml:space="preserve">cycle that does not exist. It is whether the agency can see and revoke a</w:t>
      </w:r>
      <w:r>
        <w:t xml:space="preserve"> </w:t>
      </w:r>
      <w:r>
        <w:t xml:space="preserve">session it has issued, and whether the signals that drive revocation</w:t>
      </w:r>
      <w:r>
        <w:t xml:space="preserve"> </w:t>
      </w:r>
      <w:r>
        <w:t xml:space="preserve">reach the enforcement point.</w:t>
      </w:r>
    </w:p>
    <w:bookmarkEnd w:id="27"/>
    <w:bookmarkStart w:id="28" w:name="where-transport-actually-matters-here"/>
    <w:p>
      <w:pPr>
        <w:pStyle w:val="Heading2"/>
      </w:pPr>
      <w:r>
        <w:t xml:space="preserve">5.2 Where transport actually matters here</w:t>
      </w:r>
    </w:p>
    <w:p>
      <w:pPr>
        <w:pStyle w:val="FirstParagraph"/>
      </w:pPr>
      <w:r>
        <w:t xml:space="preserve">Authentication and token exchange flows are small, latency-sensitive and</w:t>
      </w:r>
      <w:r>
        <w:t xml:space="preserve"> </w:t>
      </w:r>
      <w:r>
        <w:t xml:space="preserve">on the critical path of every user interaction. Two properties of a</w:t>
      </w:r>
      <w:r>
        <w:t xml:space="preserve"> </w:t>
      </w:r>
      <w:r>
        <w:t xml:space="preserve">branch-edge policy layer bear on them directly: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Queue priority.</w:t>
      </w:r>
      <w:r>
        <w:t xml:space="preserve"> </w:t>
      </w:r>
      <w:r>
        <w:t xml:space="preserve">Small authentication exchanges sharing an</w:t>
      </w:r>
      <w:r>
        <w:t xml:space="preserve"> </w:t>
      </w:r>
      <w:r>
        <w:t xml:space="preserve">unmanaged queue with a backup job wait behind it. Classifying and</w:t>
      </w:r>
      <w:r>
        <w:t xml:space="preserve"> </w:t>
      </w:r>
      <w:r>
        <w:t xml:space="preserve">prioritizing identity traffic at the point where it enters the</w:t>
      </w:r>
      <w:r>
        <w:t xml:space="preserve"> </w:t>
      </w:r>
      <w:r>
        <w:t xml:space="preserve">constrained link is straightforward, cheap, and impossible without a</w:t>
      </w:r>
      <w:r>
        <w:t xml:space="preserve"> </w:t>
      </w:r>
      <w:r>
        <w:t xml:space="preserve">device there.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Deterministic egress.</w:t>
      </w:r>
      <w:r>
        <w:t xml:space="preserve"> </w:t>
      </w:r>
      <w:r>
        <w:t xml:space="preserve">Conditional access and risk policies</w:t>
      </w:r>
      <w:r>
        <w:t xml:space="preserve"> </w:t>
      </w:r>
      <w:r>
        <w:t xml:space="preserve">frequently evaluate network location. An egress address that changes</w:t>
      </w:r>
      <w:r>
        <w:t xml:space="preserve"> </w:t>
      </w:r>
      <w:r>
        <w:t xml:space="preserve">unpredictably between sessions produces both false risk detections</w:t>
      </w:r>
      <w:r>
        <w:t xml:space="preserve"> </w:t>
      </w:r>
      <w:r>
        <w:t xml:space="preserve">and gaps in the location signal the policy depends on. A stable,</w:t>
      </w:r>
      <w:r>
        <w:t xml:space="preserve"> </w:t>
      </w:r>
      <w:r>
        <w:t xml:space="preserve">documented egress presentation per branch makes those policies mean</w:t>
      </w:r>
      <w:r>
        <w:t xml:space="preserve"> </w:t>
      </w:r>
      <w:r>
        <w:t xml:space="preserve">what they are written to mean.</w:t>
      </w:r>
    </w:p>
    <w:p>
      <w:pPr>
        <w:pStyle w:val="FirstParagraph"/>
      </w:pPr>
      <w:r>
        <w:t xml:space="preserve">Version 1.0 also claimed</w:t>
      </w:r>
      <w:r>
        <w:t xml:space="preserve"> </w:t>
      </w:r>
      <w:r>
        <w:t xml:space="preserve">“sub-10ms path selection decisions by SD-WAN</w:t>
      </w:r>
      <w:r>
        <w:t xml:space="preserve"> </w:t>
      </w:r>
      <w:r>
        <w:t xml:space="preserve">policy engines”</w:t>
      </w:r>
      <w:r>
        <w:t xml:space="preserve"> </w:t>
      </w:r>
      <w:r>
        <w:t xml:space="preserve">and specific token-relay degradation figures of 250–400</w:t>
      </w:r>
      <w:r>
        <w:t xml:space="preserve"> </w:t>
      </w:r>
      <w:r>
        <w:t xml:space="preserve">ms. No source supports either. They are removed. Where an agency needs</w:t>
      </w:r>
      <w:r>
        <w:t xml:space="preserve"> </w:t>
      </w:r>
      <w:r>
        <w:t xml:space="preserve">these numbers, §6 gives the method to measure them.</w:t>
      </w:r>
    </w:p>
    <w:bookmarkEnd w:id="28"/>
    <w:bookmarkEnd w:id="29"/>
    <w:bookmarkStart w:id="34" w:name="Xb76cbbd94e4859ae63c376597e41b1c8dd5a9c4"/>
    <w:p>
      <w:pPr>
        <w:pStyle w:val="Heading1"/>
      </w:pPr>
      <w:r>
        <w:t xml:space="preserve">6. Cost: how to measure it in your own estate</w:t>
      </w:r>
    </w:p>
    <w:p>
      <w:pPr>
        <w:pStyle w:val="FirstParagraph"/>
      </w:pPr>
      <w:r>
        <w:t xml:space="preserve">Version 1.0 asserted that hairpin routing without SD-WAN generates</w:t>
      </w:r>
      <w:r>
        <w:t xml:space="preserve"> </w:t>
      </w:r>
      <w:r>
        <w:t xml:space="preserve">12–18% additional CPU utilization on application servers for a</w:t>
      </w:r>
      <w:r>
        <w:t xml:space="preserve"> </w:t>
      </w:r>
      <w:r>
        <w:t xml:space="preserve">5,000-user agency, translating to $200,000–$400,000 in annual cloud</w:t>
      </w:r>
      <w:r>
        <w:t xml:space="preserve"> </w:t>
      </w:r>
      <w:r>
        <w:t xml:space="preserve">overspend, and then directed agencies to use 12–18% as</w:t>
      </w:r>
      <w:r>
        <w:t xml:space="preserve"> </w:t>
      </w:r>
      <w:r>
        <w:t xml:space="preserve">“the baseline</w:t>
      </w:r>
      <w:r>
        <w:t xml:space="preserve"> </w:t>
      </w:r>
      <w:r>
        <w:t xml:space="preserve">adjustment factor”</w:t>
      </w:r>
      <w:r>
        <w:t xml:space="preserve"> </w:t>
      </w:r>
      <w:r>
        <w:t xml:space="preserve">in cloud migration business cases. There was no</w:t>
      </w:r>
      <w:r>
        <w:t xml:space="preserve"> </w:t>
      </w:r>
      <w:r>
        <w:t xml:space="preserve">derivation, no measurement, no instance count and no compute rate behind</w:t>
      </w:r>
      <w:r>
        <w:t xml:space="preserve"> </w:t>
      </w:r>
      <w:r>
        <w:t xml:space="preserve">those figures, and two of the four mechanisms said to produce them</w:t>
      </w:r>
      <w:r>
        <w:t xml:space="preserve"> </w:t>
      </w:r>
      <w:r>
        <w:t xml:space="preserve">depended on the Kerberos and TCP claims corrected in §4.</w:t>
      </w:r>
    </w:p>
    <w:p>
      <w:pPr>
        <w:pStyle w:val="BodyText"/>
      </w:pPr>
      <w:r>
        <w:rPr>
          <w:b/>
          <w:bCs/>
        </w:rPr>
        <w:t xml:space="preserve">The figures are withdrawn.</w:t>
      </w:r>
      <w:r>
        <w:t xml:space="preserve"> </w:t>
      </w:r>
      <w:r>
        <w:t xml:space="preserve">They are replaced with the method that</w:t>
      </w:r>
      <w:r>
        <w:t xml:space="preserve"> </w:t>
      </w:r>
      <w:r>
        <w:t xml:space="preserve">would have produced defensible ones.</w:t>
      </w:r>
    </w:p>
    <w:bookmarkStart w:id="30" w:name="the-mechanisms-worth-measuring"/>
    <w:p>
      <w:pPr>
        <w:pStyle w:val="Heading2"/>
      </w:pPr>
      <w:r>
        <w:t xml:space="preserve">6.1 The mechanisms worth measuring</w:t>
      </w:r>
    </w:p>
    <w:p>
      <w:pPr>
        <w:pStyle w:val="FirstParagraph"/>
      </w:pPr>
      <w:r>
        <w:t xml:space="preserve">Four effects plausibly move compute cost, and all four are measurable: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Connection re-establishment.</w:t>
      </w:r>
      <w:r>
        <w:t xml:space="preserve"> </w:t>
      </w:r>
      <w:r>
        <w:t xml:space="preserve">Each re-established session costs a</w:t>
      </w:r>
      <w:r>
        <w:t xml:space="preserve"> </w:t>
      </w:r>
      <w:r>
        <w:t xml:space="preserve">TLS handshake, an authentication exchange and application session</w:t>
      </w:r>
      <w:r>
        <w:t xml:space="preserve"> </w:t>
      </w:r>
      <w:r>
        <w:t xml:space="preserve">setup, on both sides. Measure: server-side new-connection rate</w:t>
      </w:r>
      <w:r>
        <w:t xml:space="preserve"> </w:t>
      </w:r>
      <w:r>
        <w:t xml:space="preserve">versus active-session count, and the ratio of connection setups to</w:t>
      </w:r>
      <w:r>
        <w:t xml:space="preserve"> </w:t>
      </w:r>
      <w:r>
        <w:t xml:space="preserve">transactions.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Retry behaviour after a path event.</w:t>
      </w:r>
      <w:r>
        <w:t xml:space="preserve"> </w:t>
      </w:r>
      <w:r>
        <w:t xml:space="preserve">Clients that reconnect</w:t>
      </w:r>
      <w:r>
        <w:t xml:space="preserve"> </w:t>
      </w:r>
      <w:r>
        <w:t xml:space="preserve">immediately and simultaneously produce a burst of server-side</w:t>
      </w:r>
      <w:r>
        <w:t xml:space="preserve"> </w:t>
      </w:r>
      <w:r>
        <w:t xml:space="preserve">connection handling. Measure: connection-rate spikes correlated with</w:t>
      </w:r>
      <w:r>
        <w:t xml:space="preserve"> </w:t>
      </w:r>
      <w:r>
        <w:t xml:space="preserve">WAN path events, and their duration.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Authentication replay.</w:t>
      </w:r>
      <w:r>
        <w:t xml:space="preserve"> </w:t>
      </w:r>
      <w:r>
        <w:t xml:space="preserve">Failed token exchanges generate repeat</w:t>
      </w:r>
      <w:r>
        <w:t xml:space="preserve"> </w:t>
      </w:r>
      <w:r>
        <w:t xml:space="preserve">cycles at the identity provider. Measure: authentication request</w:t>
      </w:r>
      <w:r>
        <w:t xml:space="preserve"> </w:t>
      </w:r>
      <w:r>
        <w:t xml:space="preserve">volume versus successful authentication count.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Cache invalidation.</w:t>
      </w:r>
      <w:r>
        <w:t xml:space="preserve"> </w:t>
      </w:r>
      <w:r>
        <w:t xml:space="preserve">Dropped sessions discard application caches,</w:t>
      </w:r>
      <w:r>
        <w:t xml:space="preserve"> </w:t>
      </w:r>
      <w:r>
        <w:t xml:space="preserve">forcing cold execution. Measure: cache hit ratio and query execution</w:t>
      </w:r>
      <w:r>
        <w:t xml:space="preserve"> </w:t>
      </w:r>
      <w:r>
        <w:t xml:space="preserve">time distribution around session-drop events.</w:t>
      </w:r>
    </w:p>
    <w:bookmarkEnd w:id="30"/>
    <w:bookmarkStart w:id="31" w:name="the-measurement"/>
    <w:p>
      <w:pPr>
        <w:pStyle w:val="Heading2"/>
      </w:pPr>
      <w:r>
        <w:t xml:space="preserve">6.2 The measurement</w:t>
      </w:r>
    </w:p>
    <w:p>
      <w:pPr>
        <w:pStyle w:val="FirstParagraph"/>
      </w:pPr>
      <w:r>
        <w:t xml:space="preserve">The comparison that produces a defensible number is a</w:t>
      </w:r>
      <w:r>
        <w:t xml:space="preserve"> </w:t>
      </w:r>
      <w:r>
        <w:rPr>
          <w:b/>
          <w:bCs/>
        </w:rPr>
        <w:t xml:space="preserve">paired branch</w:t>
      </w:r>
      <w:r>
        <w:rPr>
          <w:b/>
          <w:bCs/>
        </w:rPr>
        <w:t xml:space="preserve"> </w:t>
      </w:r>
      <w:r>
        <w:rPr>
          <w:b/>
          <w:bCs/>
        </w:rPr>
        <w:t xml:space="preserve">study</w:t>
      </w:r>
      <w:r>
        <w:t xml:space="preserve">, not a model:</w:t>
      </w:r>
    </w:p>
    <w:p>
      <w:pPr>
        <w:pStyle w:val="Compact"/>
        <w:numPr>
          <w:ilvl w:val="0"/>
          <w:numId w:val="1009"/>
        </w:numPr>
      </w:pPr>
      <w:r>
        <w:t xml:space="preserve">Select two branches with comparable user counts and application mix.</w:t>
      </w:r>
    </w:p>
    <w:p>
      <w:pPr>
        <w:pStyle w:val="Compact"/>
        <w:numPr>
          <w:ilvl w:val="0"/>
          <w:numId w:val="1009"/>
        </w:numPr>
      </w:pPr>
      <w:r>
        <w:t xml:space="preserve">Instrument both for 30 days: WAN path events, application server CPU</w:t>
      </w:r>
      <w:r>
        <w:t xml:space="preserve"> </w:t>
      </w:r>
      <w:r>
        <w:t xml:space="preserve">and new-connection rate, identity provider authentication volume,</w:t>
      </w:r>
      <w:r>
        <w:t xml:space="preserve"> </w:t>
      </w:r>
      <w:r>
        <w:t xml:space="preserve">database cache hit ratio, and help desk tickets tagged by</w:t>
      </w:r>
      <w:r>
        <w:t xml:space="preserve"> </w:t>
      </w:r>
      <w:r>
        <w:t xml:space="preserve">application.</w:t>
      </w:r>
    </w:p>
    <w:p>
      <w:pPr>
        <w:pStyle w:val="Compact"/>
        <w:numPr>
          <w:ilvl w:val="0"/>
          <w:numId w:val="1009"/>
        </w:numPr>
      </w:pPr>
      <w:r>
        <w:t xml:space="preserve">Deploy the branch-edge policy layer at one branch only.</w:t>
      </w:r>
    </w:p>
    <w:p>
      <w:pPr>
        <w:pStyle w:val="Compact"/>
        <w:numPr>
          <w:ilvl w:val="0"/>
          <w:numId w:val="1009"/>
        </w:numPr>
      </w:pPr>
      <w:r>
        <w:t xml:space="preserve">Instrument both for a further 30 days.</w:t>
      </w:r>
    </w:p>
    <w:p>
      <w:pPr>
        <w:pStyle w:val="Compact"/>
        <w:numPr>
          <w:ilvl w:val="0"/>
          <w:numId w:val="1009"/>
        </w:numPr>
      </w:pPr>
      <w:r>
        <w:t xml:space="preserve">The difference in the post-period, adjusted for the pre-period</w:t>
      </w:r>
      <w:r>
        <w:t xml:space="preserve"> </w:t>
      </w:r>
      <w:r>
        <w:t xml:space="preserve">difference, is your effect size. It is agency-specific, defensible,</w:t>
      </w:r>
      <w:r>
        <w:t xml:space="preserve"> </w:t>
      </w:r>
      <w:r>
        <w:t xml:space="preserve">and it is the number to put in a business case.</w:t>
      </w:r>
    </w:p>
    <w:bookmarkEnd w:id="31"/>
    <w:bookmarkStart w:id="32" w:name="a-worked-example-every-input-stated"/>
    <w:p>
      <w:pPr>
        <w:pStyle w:val="Heading2"/>
      </w:pPr>
      <w:r>
        <w:t xml:space="preserve">6.3 A worked example — every input stated</w:t>
      </w:r>
    </w:p>
    <w:p>
      <w:pPr>
        <w:pStyle w:val="FirstParagraph"/>
      </w:pPr>
      <w:r>
        <w:t xml:space="preserve">To show the shape of the arithmetic, not to supply a result:</w:t>
      </w:r>
    </w:p>
    <w:p>
      <w:pPr>
        <w:pStyle w:val="BlockText"/>
      </w:pPr>
      <w:r>
        <w:t xml:space="preserve">Assume 5,000 branch users; 40 application server instances at</w:t>
      </w:r>
      <w:r>
        <w:t xml:space="preserve"> </w:t>
      </w:r>
      <w:r>
        <w:t xml:space="preserve">$0.192/hour on-demand equivalent, running continuously; and a</w:t>
      </w:r>
      <w:r>
        <w:t xml:space="preserve"> </w:t>
      </w:r>
      <w:r>
        <w:t xml:space="preserve">measured post-deployment reduction in average CPU utilization of</w:t>
      </w:r>
      <w:r>
        <w:t xml:space="preserve"> </w:t>
      </w:r>
      <w:r>
        <w:rPr>
          <w:b/>
          <w:bCs/>
        </w:rPr>
        <w:t xml:space="preserve">X%</w:t>
      </w:r>
      <w:r>
        <w:t xml:space="preserve"> </w:t>
      </w:r>
      <w:r>
        <w:t xml:space="preserve">attributable to reduced connection churn.</w:t>
      </w:r>
    </w:p>
    <w:p>
      <w:pPr>
        <w:pStyle w:val="BlockText"/>
      </w:pPr>
      <w:r>
        <w:t xml:space="preserve">Annual compute at baseline: 40 × $0.192 × 8,760 =</w:t>
      </w:r>
      <w:r>
        <w:t xml:space="preserve"> </w:t>
      </w:r>
      <w:r>
        <w:rPr>
          <w:b/>
          <w:bCs/>
        </w:rPr>
        <w:t xml:space="preserve">$67,277</w:t>
      </w:r>
      <w:r>
        <w:t xml:space="preserve">. If</w:t>
      </w:r>
      <w:r>
        <w:t xml:space="preserve"> </w:t>
      </w:r>
      <w:r>
        <w:t xml:space="preserve">reduced utilization permits proportional instance reduction, annual</w:t>
      </w:r>
      <w:r>
        <w:t xml:space="preserve"> </w:t>
      </w:r>
      <w:r>
        <w:t xml:space="preserve">saving ≈ $67,277 × X.</w:t>
      </w:r>
    </w:p>
    <w:p>
      <w:pPr>
        <w:pStyle w:val="BlockText"/>
      </w:pPr>
      <w:r>
        <w:t xml:space="preserve">At X = 10%, that is</w:t>
      </w:r>
      <w:r>
        <w:t xml:space="preserve"> </w:t>
      </w:r>
      <w:r>
        <w:rPr>
          <w:b/>
          <w:bCs/>
        </w:rPr>
        <w:t xml:space="preserve">$6,728/year</w:t>
      </w:r>
      <w:r>
        <w:t xml:space="preserve"> </w:t>
      </w:r>
      <w:r>
        <w:t xml:space="preserve">— an order of magnitude below</w:t>
      </w:r>
      <w:r>
        <w:t xml:space="preserve"> </w:t>
      </w:r>
      <w:r>
        <w:t xml:space="preserve">what version 1.0 asserted, on an instance count and rate that are at</w:t>
      </w:r>
      <w:r>
        <w:t xml:space="preserve"> </w:t>
      </w:r>
      <w:r>
        <w:t xml:space="preserve">least stated.</w:t>
      </w:r>
    </w:p>
    <w:p>
      <w:pPr>
        <w:pStyle w:val="FirstParagraph"/>
      </w:pPr>
      <w:r>
        <w:t xml:space="preserve">The example is deliberately unflattering. Compute savings alone rarely</w:t>
      </w:r>
      <w:r>
        <w:t xml:space="preserve"> </w:t>
      </w:r>
      <w:r>
        <w:t xml:space="preserve">justify a branch-edge programme, and a business case resting on them</w:t>
      </w:r>
      <w:r>
        <w:t xml:space="preserve"> </w:t>
      </w:r>
      <w:r>
        <w:t xml:space="preserve">will not survive a budget examiner who asks for the instance count.</w:t>
      </w:r>
      <w:r>
        <w:t xml:space="preserve"> </w:t>
      </w:r>
      <w:r>
        <w:rPr>
          <w:b/>
          <w:bCs/>
        </w:rPr>
        <w:t xml:space="preserve">The defensible case is built on the other four cost categories</w:t>
      </w:r>
      <w:r>
        <w:t xml:space="preserve"> </w:t>
      </w:r>
      <w:r>
        <w:t xml:space="preserve">—</w:t>
      </w:r>
      <w:r>
        <w:t xml:space="preserve"> </w:t>
      </w:r>
      <w:r>
        <w:t xml:space="preserve">help desk volume, circuit over-provisioning, incident triage of</w:t>
      </w:r>
      <w:r>
        <w:t xml:space="preserve"> </w:t>
      </w:r>
      <w:r>
        <w:t xml:space="preserve">architecture-induced false positives, and the risk cost of unevidenced</w:t>
      </w:r>
      <w:r>
        <w:t xml:space="preserve"> </w:t>
      </w:r>
      <w:r>
        <w:t xml:space="preserve">control assertions — each of which the agency can measure from data it</w:t>
      </w:r>
      <w:r>
        <w:t xml:space="preserve"> </w:t>
      </w:r>
      <w:r>
        <w:t xml:space="preserve">already holds, and each of which is larger than the compute term in most</w:t>
      </w:r>
      <w:r>
        <w:t xml:space="preserve"> </w:t>
      </w:r>
      <w:r>
        <w:t xml:space="preserve">estates. Version 1.0 offered figures for all of these too; none were</w:t>
      </w:r>
      <w:r>
        <w:t xml:space="preserve"> </w:t>
      </w:r>
      <w:r>
        <w:t xml:space="preserve">sourced, and all are withdrawn.</w:t>
      </w:r>
    </w:p>
    <w:bookmarkEnd w:id="32"/>
    <w:bookmarkStart w:id="33" w:name="what-to-stop-doing"/>
    <w:p>
      <w:pPr>
        <w:pStyle w:val="Heading2"/>
      </w:pPr>
      <w:r>
        <w:t xml:space="preserve">6.4 What to stop doing</w:t>
      </w:r>
    </w:p>
    <w:p>
      <w:pPr>
        <w:pStyle w:val="FirstParagraph"/>
      </w:pPr>
      <w:r>
        <w:t xml:space="preserve">Do not put a routing-attributable percentage into a TCO model on the</w:t>
      </w:r>
      <w:r>
        <w:t xml:space="preserve"> </w:t>
      </w:r>
      <w:r>
        <w:t xml:space="preserve">authority of a white paper — including this one. Put in a measured</w:t>
      </w:r>
      <w:r>
        <w:t xml:space="preserve"> </w:t>
      </w:r>
      <w:r>
        <w:t xml:space="preserve">figure with its measurement method attached, or put in a range with the</w:t>
      </w:r>
      <w:r>
        <w:t xml:space="preserve"> </w:t>
      </w:r>
      <w:r>
        <w:t xml:space="preserve">assumption stated and marked as an assumption. A cloud migration</w:t>
      </w:r>
      <w:r>
        <w:t xml:space="preserve"> </w:t>
      </w:r>
      <w:r>
        <w:t xml:space="preserve">business case that omits routing architecture as a cost variable is</w:t>
      </w:r>
      <w:r>
        <w:t xml:space="preserve"> </w:t>
      </w:r>
      <w:r>
        <w:t xml:space="preserve">incomplete; one that includes an invented figure for it is worse,</w:t>
      </w:r>
      <w:r>
        <w:t xml:space="preserve"> </w:t>
      </w:r>
      <w:r>
        <w:t xml:space="preserve">because it will be checked.</w:t>
      </w:r>
    </w:p>
    <w:bookmarkEnd w:id="33"/>
    <w:bookmarkEnd w:id="34"/>
    <w:bookmarkStart w:id="38" w:name="X866fb699d777497a96f8ab413eda4cd79016d45"/>
    <w:p>
      <w:pPr>
        <w:pStyle w:val="Heading1"/>
      </w:pPr>
      <w:r>
        <w:t xml:space="preserve">7. Sequencing, and the phase inversion problem</w:t>
      </w:r>
    </w:p>
    <w:bookmarkStart w:id="35" w:name="the-dependency-is-technical"/>
    <w:p>
      <w:pPr>
        <w:pStyle w:val="Heading2"/>
      </w:pPr>
      <w:r>
        <w:t xml:space="preserve">7.1 The dependency is technical</w:t>
      </w:r>
    </w:p>
    <w:p>
      <w:pPr>
        <w:pStyle w:val="FirstParagraph"/>
      </w:pPr>
      <w:r>
        <w:t xml:space="preserve">Federal modernization proceeds through phases whose ordering reflects</w:t>
      </w:r>
      <w:r>
        <w:t xml:space="preserve"> </w:t>
      </w:r>
      <w:r>
        <w:t xml:space="preserve">technical dependency, not policy mandate. No OMB memorandum, CISA</w:t>
      </w:r>
      <w:r>
        <w:t xml:space="preserve"> </w:t>
      </w:r>
      <w:r>
        <w:t xml:space="preserve">directive or executive order specifies the sequence below. Version 1.0</w:t>
      </w:r>
      <w:r>
        <w:t xml:space="preserve"> </w:t>
      </w:r>
      <w:r>
        <w:t xml:space="preserve">implied otherwise, requiring</w:t>
      </w:r>
      <w:r>
        <w:t xml:space="preserve"> </w:t>
      </w:r>
      <w:r>
        <w:t xml:space="preserve">“Phase 2 attestation as a precondition for</w:t>
      </w:r>
      <w:r>
        <w:t xml:space="preserve"> </w:t>
      </w:r>
      <w:r>
        <w:t xml:space="preserve">Phase 3 authorization”</w:t>
      </w:r>
      <w:r>
        <w:t xml:space="preserve"> </w:t>
      </w:r>
      <w:r>
        <w:t xml:space="preserve">as though the requirement were external. It is</w:t>
      </w:r>
      <w:r>
        <w:t xml:space="preserve"> </w:t>
      </w:r>
      <w:r>
        <w:t xml:space="preserve">not. The argument has to stand on engineering, and it does.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856"/>
        <w:gridCol w:w="3103"/>
        <w:gridCol w:w="385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 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tivity Dependency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0 Assess</w:t>
            </w:r>
            <w:r>
              <w:t xml:space="preserve"> </w:t>
            </w:r>
            <w:r>
              <w:t xml:space="preserve">as part</w:t>
            </w:r>
            <w:r>
              <w:t xml:space="preserve"> </w:t>
            </w:r>
            <w:r>
              <w:t xml:space="preserve">whether</w:t>
            </w:r>
            <w:r>
              <w:t xml:space="preserve"> </w:t>
            </w:r>
            <w:r>
              <w:t xml:space="preserve">governed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ment and inventory Document c</w:t>
            </w:r>
            <w:r>
              <w:t xml:space="preserve"> </w:t>
            </w:r>
            <w:r>
              <w:t xml:space="preserve">of the baseline, including</w:t>
            </w:r>
            <w:r>
              <w:t xml:space="preserve"> </w:t>
            </w:r>
            <w:r>
              <w:t xml:space="preserve">branch transport is</w:t>
            </w:r>
            <w:r>
              <w:t xml:space="preserve"> </w:t>
            </w:r>
            <w:r>
              <w:t xml:space="preserve">and measurable</w:t>
            </w:r>
          </w:p>
        </w:tc>
        <w:tc>
          <w:tcPr/>
          <w:p>
            <w:pPr>
              <w:pStyle w:val="Compact"/>
            </w:pPr>
            <w:r>
              <w:t xml:space="preserve">urrent WAN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Identi</w:t>
            </w:r>
            <w:r>
              <w:t xml:space="preserve"> </w:t>
            </w:r>
            <w:r>
              <w:t xml:space="preserve">moderniz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 and access Can proceed in</w:t>
            </w:r>
            <w:r>
              <w:t xml:space="preserve"> </w:t>
            </w:r>
            <w:r>
              <w:t xml:space="preserve">ation must precede ZTNA enfor</w:t>
            </w:r>
          </w:p>
        </w:tc>
        <w:tc>
          <w:tcPr/>
          <w:p>
            <w:pPr>
              <w:pStyle w:val="Compact"/>
            </w:pPr>
            <w:r>
              <w:t xml:space="preserve">parallel with 2;</w:t>
            </w:r>
            <w:r>
              <w:t xml:space="preserve"> </w:t>
            </w:r>
            <w:r>
              <w:t xml:space="preserve">cement in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Networ</w:t>
            </w:r>
            <w:r>
              <w:t xml:space="preserve"> </w:t>
            </w:r>
            <w:r>
              <w:t xml:space="preserve">moderniz</w:t>
            </w:r>
            <w:r>
              <w:t xml:space="preserve"> </w:t>
            </w:r>
            <w:r>
              <w:t xml:space="preserve">telemetr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 and transport TIC 3.0 use c</w:t>
            </w:r>
            <w:r>
              <w:t xml:space="preserve"> </w:t>
            </w:r>
            <w:r>
              <w:t xml:space="preserve">ation breakout, branch-edge p</w:t>
            </w:r>
            <w:r>
              <w:t xml:space="preserve"> </w:t>
            </w:r>
            <w:r>
              <w:t xml:space="preserve">y to CISA</w:t>
            </w:r>
          </w:p>
        </w:tc>
        <w:tc>
          <w:tcPr/>
          <w:p>
            <w:pPr>
              <w:pStyle w:val="Compact"/>
            </w:pPr>
            <w:r>
              <w:t xml:space="preserve">ase adoption, local</w:t>
            </w:r>
            <w:r>
              <w:t xml:space="preserve"> </w:t>
            </w:r>
            <w:r>
              <w:t xml:space="preserve">olicy layer,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Cloud</w:t>
            </w:r>
            <w:r>
              <w:t xml:space="preserve"> </w:t>
            </w:r>
            <w:r>
              <w:t xml:space="preserve">baseline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workload migration Needs 2 fo</w:t>
            </w:r>
            <w:r>
              <w:t xml:space="preserve"> </w:t>
            </w:r>
            <w:r>
              <w:t xml:space="preserve">that can be attributed</w:t>
            </w:r>
          </w:p>
        </w:tc>
        <w:tc>
          <w:tcPr/>
          <w:p>
            <w:pPr>
              <w:pStyle w:val="Compact"/>
            </w:pPr>
            <w:r>
              <w:t xml:space="preserve">r a performance and 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Zero t</w:t>
            </w:r>
            <w:r>
              <w:t xml:space="preserve"> </w:t>
            </w:r>
            <w:r>
              <w:t xml:space="preserve">verifica</w:t>
            </w:r>
            <w:r>
              <w:t xml:space="preserve"> </w:t>
            </w:r>
            <w:r>
              <w:t xml:space="preserve">protecte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rust continuous Needs 1 for i</w:t>
            </w:r>
            <w:r>
              <w:t xml:space="preserve"> </w:t>
            </w:r>
            <w:r>
              <w:t xml:space="preserve">tion observable transport, 3</w:t>
            </w:r>
            <w:r>
              <w:t xml:space="preserve"> </w:t>
            </w:r>
            <w:r>
              <w:t xml:space="preserve">d resources</w:t>
            </w:r>
          </w:p>
        </w:tc>
        <w:tc>
          <w:tcPr/>
          <w:p>
            <w:pPr>
              <w:pStyle w:val="Compact"/>
            </w:pPr>
            <w:r>
              <w:t xml:space="preserve">dentity, 2 for</w:t>
            </w:r>
            <w:r>
              <w:t xml:space="preserve"> </w:t>
            </w:r>
            <w:r>
              <w:t xml:space="preserve">for</w:t>
            </w:r>
          </w:p>
        </w:tc>
      </w:tr>
    </w:tbl>
    <w:bookmarkEnd w:id="35"/>
    <w:bookmarkStart w:id="36" w:name="phase-inversion"/>
    <w:p>
      <w:pPr>
        <w:pStyle w:val="Heading2"/>
      </w:pPr>
      <w:r>
        <w:t xml:space="preserve">7.2 Phase inversion</w:t>
      </w:r>
    </w:p>
    <w:p>
      <w:pPr>
        <w:pStyle w:val="FirstParagraph"/>
      </w:pPr>
      <w:r>
        <w:rPr>
          <w:b/>
          <w:bCs/>
        </w:rPr>
        <w:t xml:space="preserve">Phase inversion</w:t>
      </w:r>
      <w:r>
        <w:t xml:space="preserve"> </w:t>
      </w:r>
      <w:r>
        <w:t xml:space="preserve">is the failure mode in which an agency completes</w:t>
      </w:r>
      <w:r>
        <w:t xml:space="preserve"> </w:t>
      </w:r>
      <w:r>
        <w:t xml:space="preserve">cloud migration before it can govern and measure the transport its users</w:t>
      </w:r>
      <w:r>
        <w:t xml:space="preserve"> </w:t>
      </w:r>
      <w:r>
        <w:t xml:space="preserve">reach the cloud over.</w:t>
      </w:r>
    </w:p>
    <w:p>
      <w:pPr>
        <w:pStyle w:val="BodyText"/>
      </w:pPr>
      <w:r>
        <w:t xml:space="preserve">The consequence is not primarily performance. It is</w:t>
      </w:r>
      <w:r>
        <w:t xml:space="preserve"> </w:t>
      </w:r>
      <w:r>
        <w:rPr>
          <w:b/>
          <w:bCs/>
        </w:rPr>
        <w:t xml:space="preserve">attribution</w:t>
      </w:r>
      <w:r>
        <w:t xml:space="preserve">.</w:t>
      </w:r>
      <w:r>
        <w:t xml:space="preserve"> </w:t>
      </w:r>
      <w:r>
        <w:t xml:space="preserve">Post-migration, application response times and cloud bills are both</w:t>
      </w:r>
      <w:r>
        <w:t xml:space="preserve"> </w:t>
      </w:r>
      <w:r>
        <w:t xml:space="preserve">worse than the business case assumed. The agency has cloud metrics and</w:t>
      </w:r>
      <w:r>
        <w:t xml:space="preserve"> </w:t>
      </w:r>
      <w:r>
        <w:t xml:space="preserve">it has application metrics; it does not have per-application transport</w:t>
      </w:r>
      <w:r>
        <w:t xml:space="preserve"> </w:t>
      </w:r>
      <w:r>
        <w:t xml:space="preserve">metrics, because those require the device it did not deploy. The cost is</w:t>
      </w:r>
      <w:r>
        <w:t xml:space="preserve"> </w:t>
      </w:r>
      <w:r>
        <w:t xml:space="preserve">therefore attributed to the only thing being measured — the cloud —</w:t>
      </w:r>
      <w:r>
        <w:t xml:space="preserve"> </w:t>
      </w:r>
      <w:r>
        <w:t xml:space="preserve">and the remedies chosen follow the attribution: more instances, more</w:t>
      </w:r>
      <w:r>
        <w:t xml:space="preserve"> </w:t>
      </w:r>
      <w:r>
        <w:t xml:space="preserve">caching, read replicas, a content delivery layer. Each raises cloud</w:t>
      </w:r>
      <w:r>
        <w:t xml:space="preserve"> </w:t>
      </w:r>
      <w:r>
        <w:t xml:space="preserve">spend, which strengthens the</w:t>
      </w:r>
      <w:r>
        <w:t xml:space="preserve"> </w:t>
      </w:r>
      <w:r>
        <w:t xml:space="preserve">“cloud is too expensive”</w:t>
      </w:r>
      <w:r>
        <w:t xml:space="preserve"> </w:t>
      </w:r>
      <w:r>
        <w:t xml:space="preserve">narrative, which</w:t>
      </w:r>
      <w:r>
        <w:t xml:space="preserve"> </w:t>
      </w:r>
      <w:r>
        <w:t xml:space="preserve">generates repatriation pressure. The transport contribution is never</w:t>
      </w:r>
      <w:r>
        <w:t xml:space="preserve"> </w:t>
      </w:r>
      <w:r>
        <w:t xml:space="preserve">identified, because it never appears in the data anyone is looking at.</w:t>
      </w:r>
    </w:p>
    <w:p>
      <w:pPr>
        <w:pStyle w:val="BodyText"/>
      </w:pPr>
      <w:r>
        <w:t xml:space="preserve">The self-reinforcing part is what makes this worth naming. The remedy</w:t>
      </w:r>
      <w:r>
        <w:t xml:space="preserve"> </w:t>
      </w:r>
      <w:r>
        <w:t xml:space="preserve">for a misattributed cost raises the cost that was misattributed.</w:t>
      </w:r>
    </w:p>
    <w:bookmarkEnd w:id="36"/>
    <w:bookmarkStart w:id="37" w:name="what-to-do-if-you-are-already-inverted"/>
    <w:p>
      <w:pPr>
        <w:pStyle w:val="Heading2"/>
      </w:pPr>
      <w:r>
        <w:t xml:space="preserve">7.3 What to do if you are already inverted</w:t>
      </w:r>
    </w:p>
    <w:p>
      <w:pPr>
        <w:pStyle w:val="FirstParagraph"/>
      </w:pPr>
      <w:r>
        <w:t xml:space="preserve">Most agencies reading this have already migrated. The correction is not</w:t>
      </w:r>
      <w:r>
        <w:t xml:space="preserve"> </w:t>
      </w:r>
      <w:r>
        <w:t xml:space="preserve">to unwind anything: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Instrument before you buy.</w:t>
      </w:r>
      <w:r>
        <w:t xml:space="preserve"> </w:t>
      </w:r>
      <w:r>
        <w:t xml:space="preserve">Deploy transport measurement at a</w:t>
      </w:r>
      <w:r>
        <w:t xml:space="preserve"> </w:t>
      </w:r>
      <w:r>
        <w:t xml:space="preserve">representative sample of branches — many agencies can obtain</w:t>
      </w:r>
      <w:r>
        <w:t xml:space="preserve"> </w:t>
      </w:r>
      <w:r>
        <w:t xml:space="preserve">per-path latency and loss data from existing infrastructure without</w:t>
      </w:r>
      <w:r>
        <w:t xml:space="preserve"> </w:t>
      </w:r>
      <w:r>
        <w:t xml:space="preserve">new capital. Establish what fraction of application latency is</w:t>
      </w:r>
      <w:r>
        <w:t xml:space="preserve"> </w:t>
      </w:r>
      <w:r>
        <w:t xml:space="preserve">transport-attributable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proposing a transport programme.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Re-baseline the attribution.</w:t>
      </w:r>
      <w:r>
        <w:t xml:space="preserve"> </w:t>
      </w:r>
      <w:r>
        <w:t xml:space="preserve">Take the last four quarters of</w:t>
      </w:r>
      <w:r>
        <w:t xml:space="preserve"> </w:t>
      </w:r>
      <w:r>
        <w:t xml:space="preserve">cloud spend growth and test how much correlates with user-experience</w:t>
      </w:r>
      <w:r>
        <w:t xml:space="preserve"> </w:t>
      </w:r>
      <w:r>
        <w:t xml:space="preserve">complaints and help desk volume by branch rather than with workload</w:t>
      </w:r>
      <w:r>
        <w:t xml:space="preserve"> </w:t>
      </w:r>
      <w:r>
        <w:t xml:space="preserve">growth.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Fix chattiness first where it dominates.</w:t>
      </w:r>
      <w:r>
        <w:t xml:space="preserve"> </w:t>
      </w:r>
      <w:r>
        <w:t xml:space="preserve">§4.3’s arithmetic will</w:t>
      </w:r>
      <w:r>
        <w:t xml:space="preserve"> </w:t>
      </w:r>
      <w:r>
        <w:t xml:space="preserve">identify applications where an application change returns more than</w:t>
      </w:r>
      <w:r>
        <w:t xml:space="preserve"> </w:t>
      </w:r>
      <w:r>
        <w:t xml:space="preserve">any transport change can.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Then scope the branch-edge programme</w:t>
      </w:r>
      <w:r>
        <w:t xml:space="preserve"> </w:t>
      </w:r>
      <w:r>
        <w:t xml:space="preserve">to the branches and</w:t>
      </w:r>
      <w:r>
        <w:t xml:space="preserve"> </w:t>
      </w:r>
      <w:r>
        <w:t xml:space="preserve">applications where the measurement says it pays, rather than to all</w:t>
      </w:r>
      <w:r>
        <w:t xml:space="preserve"> </w:t>
      </w:r>
      <w:r>
        <w:t xml:space="preserve">branches on principle.</w:t>
      </w:r>
    </w:p>
    <w:p>
      <w:pPr>
        <w:pStyle w:val="FirstParagraph"/>
      </w:pPr>
      <w:r>
        <w:t xml:space="preserve">That sequence produces a business case a reviewer cannot dismantle,</w:t>
      </w:r>
      <w:r>
        <w:t xml:space="preserve"> </w:t>
      </w:r>
      <w:r>
        <w:t xml:space="preserve">because every number in it came from the agency’s own estate.</w:t>
      </w:r>
    </w:p>
    <w:bookmarkEnd w:id="37"/>
    <w:bookmarkEnd w:id="38"/>
    <w:bookmarkStart w:id="39" w:name="recommendations"/>
    <w:p>
      <w:pPr>
        <w:pStyle w:val="Heading1"/>
      </w:pPr>
      <w:r>
        <w:t xml:space="preserve">8. Recommendations</w:t>
      </w:r>
    </w:p>
    <w:p>
      <w:pPr>
        <w:pStyle w:val="FirstParagraph"/>
      </w:pPr>
      <w:r>
        <w:rPr>
          <w:b/>
          <w:bCs/>
        </w:rPr>
        <w:t xml:space="preserve">1. Adopt a TIC 3.0 use case and document the mapping.</w:t>
      </w:r>
      <w:r>
        <w:t xml:space="preserve"> </w:t>
      </w:r>
      <w:r>
        <w:t xml:space="preserve">Agencies with</w:t>
      </w:r>
      <w:r>
        <w:t xml:space="preserve"> </w:t>
      </w:r>
      <w:r>
        <w:t xml:space="preserve">branch users reaching cloud services should adopt the</w:t>
      </w:r>
      <w:r>
        <w:t xml:space="preserve"> </w:t>
      </w:r>
      <w:r>
        <w:rPr>
          <w:b/>
          <w:bCs/>
        </w:rPr>
        <w:t xml:space="preserve">Branch Office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Cloud</w:t>
      </w:r>
      <w:r>
        <w:t xml:space="preserve"> </w:t>
      </w:r>
      <w:r>
        <w:t xml:space="preserve">use cases as the architectural pattern, and document the</w:t>
      </w:r>
      <w:r>
        <w:t xml:space="preserve"> </w:t>
      </w:r>
      <w:r>
        <w:t xml:space="preserve">mapping from each required security capability to the mechanism</w:t>
      </w:r>
      <w:r>
        <w:t xml:space="preserve"> </w:t>
      </w:r>
      <w:r>
        <w:t xml:space="preserve">implementing it and the evidence that mechanism produces. There is no</w:t>
      </w:r>
      <w:r>
        <w:t xml:space="preserve"> </w:t>
      </w:r>
      <w:r>
        <w:t xml:space="preserve">“SASE use case”</w:t>
      </w:r>
      <w:r>
        <w:t xml:space="preserve">; do not cite one. Read the current use-case PDFs and</w:t>
      </w:r>
      <w:r>
        <w:t xml:space="preserve"> </w:t>
      </w:r>
      <w:r>
        <w:t xml:space="preserve">cite versions from their cover pages.</w:t>
      </w:r>
    </w:p>
    <w:p>
      <w:pPr>
        <w:pStyle w:val="BodyText"/>
      </w:pPr>
      <w:r>
        <w:rPr>
          <w:b/>
          <w:bCs/>
        </w:rPr>
        <w:t xml:space="preserve">2. Specify the branch-edge policy layer explicitly in SASE</w:t>
      </w:r>
      <w:r>
        <w:rPr>
          <w:b/>
          <w:bCs/>
        </w:rPr>
        <w:t xml:space="preserve"> </w:t>
      </w:r>
      <w:r>
        <w:rPr>
          <w:b/>
          <w:bCs/>
        </w:rPr>
        <w:t xml:space="preserve">acquisitions.</w:t>
      </w:r>
      <w:r>
        <w:t xml:space="preserve"> </w:t>
      </w:r>
      <w:r>
        <w:t xml:space="preserve">Cloud-delivered inspection without a branch-edge policy</w:t>
      </w:r>
      <w:r>
        <w:t xml:space="preserve"> </w:t>
      </w:r>
      <w:r>
        <w:t xml:space="preserve">layer leaves the branch-to-PoP path ungoverned and unmeasured.</w:t>
      </w:r>
      <w:r>
        <w:t xml:space="preserve"> </w:t>
      </w:r>
      <w:r>
        <w:t xml:space="preserve">Requirements should state application-aware steering, continuous path</w:t>
      </w:r>
      <w:r>
        <w:t xml:space="preserve"> </w:t>
      </w:r>
      <w:r>
        <w:t xml:space="preserve">health measurement, sub-second failover, QoS enforcement, deterministic</w:t>
      </w:r>
      <w:r>
        <w:t xml:space="preserve"> </w:t>
      </w:r>
      <w:r>
        <w:t xml:space="preserve">egress presentation, and per-application path telemetry exportable to</w:t>
      </w:r>
      <w:r>
        <w:t xml:space="preserve"> </w:t>
      </w:r>
      <w:r>
        <w:t xml:space="preserve">the agency’s log pipeline. State this as an architecture requirement the</w:t>
      </w:r>
      <w:r>
        <w:t xml:space="preserve"> </w:t>
      </w:r>
      <w:r>
        <w:t xml:space="preserve">agency has decided on —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as a CISA mandate, because it is not</w:t>
      </w:r>
      <w:r>
        <w:t xml:space="preserve"> </w:t>
      </w:r>
      <w:r>
        <w:t xml:space="preserve">one. Check FedRAMP impact levels before writing the requirement (§3.4);</w:t>
      </w:r>
      <w:r>
        <w:t xml:space="preserve"> </w:t>
      </w:r>
      <w:r>
        <w:t xml:space="preserve">they are not uniform across candidates.</w:t>
      </w:r>
    </w:p>
    <w:p>
      <w:pPr>
        <w:pStyle w:val="BodyText"/>
      </w:pPr>
      <w:r>
        <w:rPr>
          <w:b/>
          <w:bCs/>
        </w:rPr>
        <w:t xml:space="preserve">3. Treat sequencing as a documented technical dependency.</w:t>
      </w:r>
      <w:r>
        <w:t xml:space="preserve"> </w:t>
      </w:r>
      <w:r>
        <w:t xml:space="preserve">Investment</w:t>
      </w:r>
      <w:r>
        <w:t xml:space="preserve"> </w:t>
      </w:r>
      <w:r>
        <w:t xml:space="preserve">review boards should ask, for any cloud migration proposal, what the</w:t>
      </w:r>
      <w:r>
        <w:t xml:space="preserve"> </w:t>
      </w:r>
      <w:r>
        <w:t xml:space="preserve">transport baseline is and how post-migration cost will be attributed</w:t>
      </w:r>
      <w:r>
        <w:t xml:space="preserve"> </w:t>
      </w:r>
      <w:r>
        <w:t xml:space="preserve">between workload and transport. An agency that cannot answer should</w:t>
      </w:r>
      <w:r>
        <w:t xml:space="preserve"> </w:t>
      </w:r>
      <w:r>
        <w:t xml:space="preserve">expect the phase inversion pattern in §7.2 and should say so in the risk</w:t>
      </w:r>
      <w:r>
        <w:t xml:space="preserve"> </w:t>
      </w:r>
      <w:r>
        <w:t xml:space="preserve">section rather than discovering it later.</w:t>
      </w:r>
    </w:p>
    <w:p>
      <w:pPr>
        <w:pStyle w:val="BodyText"/>
      </w:pPr>
      <w:r>
        <w:rPr>
          <w:b/>
          <w:bCs/>
        </w:rPr>
        <w:t xml:space="preserve">4. Measure the cost; do not import it.</w:t>
      </w:r>
      <w:r>
        <w:t xml:space="preserve"> </w:t>
      </w:r>
      <w:r>
        <w:t xml:space="preserve">Use §6.2’s paired-branch</w:t>
      </w:r>
      <w:r>
        <w:t xml:space="preserve"> </w:t>
      </w:r>
      <w:r>
        <w:t xml:space="preserve">method. Any figure entering a TCO model should carry its measurement</w:t>
      </w:r>
      <w:r>
        <w:t xml:space="preserve"> </w:t>
      </w:r>
      <w:r>
        <w:t xml:space="preserve">method or be labelled an assumption. Withdraw any figure sourced from</w:t>
      </w:r>
      <w:r>
        <w:t xml:space="preserve"> </w:t>
      </w:r>
      <w:r>
        <w:t xml:space="preserve">version 1.0 of this paper.</w:t>
      </w:r>
    </w:p>
    <w:p>
      <w:pPr>
        <w:pStyle w:val="BodyText"/>
      </w:pPr>
      <w:r>
        <w:rPr>
          <w:b/>
          <w:bCs/>
        </w:rPr>
        <w:t xml:space="preserve">5. Make application-to-path routing policy an authorization</w:t>
      </w:r>
      <w:r>
        <w:rPr>
          <w:b/>
          <w:bCs/>
        </w:rPr>
        <w:t xml:space="preserve"> </w:t>
      </w:r>
      <w:r>
        <w:rPr>
          <w:b/>
          <w:bCs/>
        </w:rPr>
        <w:t xml:space="preserve">artifact.</w:t>
      </w:r>
      <w:r>
        <w:t xml:space="preserve"> </w:t>
      </w:r>
      <w:r>
        <w:t xml:space="preserve">Where an agency asserts SC-7, SI-4, AC-17 or CA-7 for a</w:t>
      </w:r>
      <w:r>
        <w:t xml:space="preserve"> </w:t>
      </w:r>
      <w:r>
        <w:t xml:space="preserve">system whose users reach it over branch transport, the package should</w:t>
      </w:r>
      <w:r>
        <w:t xml:space="preserve"> </w:t>
      </w:r>
      <w:r>
        <w:t xml:space="preserve">document the path assignment for each application class, the QoS policy</w:t>
      </w:r>
      <w:r>
        <w:t xml:space="preserve"> </w:t>
      </w:r>
      <w:r>
        <w:t xml:space="preserve">at the branch edge, the failover policy and its measured recovery time,</w:t>
      </w:r>
      <w:r>
        <w:t xml:space="preserve"> </w:t>
      </w:r>
      <w:r>
        <w:t xml:space="preserve">and the monitoring mechanism producing path performance data. Where no</w:t>
      </w:r>
      <w:r>
        <w:t xml:space="preserve"> </w:t>
      </w:r>
      <w:r>
        <w:t xml:space="preserve">such mechanism exists, that should be stated in the package as a known</w:t>
      </w:r>
      <w:r>
        <w:t xml:space="preserve"> </w:t>
      </w:r>
      <w:r>
        <w:t xml:space="preserve">limitation rather than left implicit. Note that under OMB M-26-14 the</w:t>
      </w:r>
      <w:r>
        <w:t xml:space="preserve"> </w:t>
      </w:r>
      <w:r>
        <w:t xml:space="preserve">transport telemetry question is now also a logging-maturity question.</w:t>
      </w:r>
    </w:p>
    <w:p>
      <w:pPr>
        <w:pStyle w:val="BodyText"/>
      </w:pPr>
      <w:r>
        <w:rPr>
          <w:b/>
          <w:bCs/>
        </w:rPr>
        <w:t xml:space="preserve">6. Audit the real Active Directory dependencies.</w:t>
      </w:r>
      <w:r>
        <w:t xml:space="preserve"> </w:t>
      </w:r>
      <w:r>
        <w:t xml:space="preserve">Replacing version</w:t>
      </w:r>
      <w:r>
        <w:t xml:space="preserve"> </w:t>
      </w:r>
      <w:r>
        <w:t xml:space="preserve">1.0’s Kerberos SNAT recommendation, which rested on a mechanism that</w:t>
      </w:r>
      <w:r>
        <w:t xml:space="preserve"> </w:t>
      </w:r>
      <w:r>
        <w:t xml:space="preserve">does not occur: (a) verify whether any hardening baseline in the estate</w:t>
      </w:r>
      <w:r>
        <w:t xml:space="preserve"> </w:t>
      </w:r>
      <w:r>
        <w:t xml:space="preserve">has moved</w:t>
      </w:r>
      <w:r>
        <w:t xml:space="preserve"> </w:t>
      </w:r>
      <w:r>
        <w:rPr>
          <w:rStyle w:val="VerbatimChar"/>
        </w:rPr>
        <w:t xml:space="preserve">KdcUseClientAddresses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 </w:t>
      </w:r>
      <w:r>
        <w:t xml:space="preserve">off their</w:t>
      </w:r>
      <w:r>
        <w:t xml:space="preserve"> </w:t>
      </w:r>
      <w:r>
        <w:t xml:space="preserve">defaults, and reconsider it if so; (b) confirm every branch has a</w:t>
      </w:r>
      <w:r>
        <w:t xml:space="preserve"> </w:t>
      </w:r>
      <w:r>
        <w:t xml:space="preserve">defined, monitored path to a domain controller for initial TGT</w:t>
      </w:r>
      <w:r>
        <w:t xml:space="preserve"> </w:t>
      </w:r>
      <w:r>
        <w:t xml:space="preserve">acquisition, SYSVOL/Group Policy retrieval, password change, and hybrid</w:t>
      </w:r>
      <w:r>
        <w:t xml:space="preserve"> </w:t>
      </w:r>
      <w:r>
        <w:t xml:space="preserve">join registration; (c) inventory applications that key session state or</w:t>
      </w:r>
      <w:r>
        <w:t xml:space="preserve"> </w:t>
      </w:r>
      <w:r>
        <w:t xml:space="preserve">authorization to a client source address, and establish deterministic</w:t>
      </w:r>
      <w:r>
        <w:t xml:space="preserve"> </w:t>
      </w:r>
      <w:r>
        <w:t xml:space="preserve">egress for them. Complete (b) before migrating any Active</w:t>
      </w:r>
      <w:r>
        <w:t xml:space="preserve"> </w:t>
      </w:r>
      <w:r>
        <w:t xml:space="preserve">Directory-dependent application, because it is the dependency that</w:t>
      </w:r>
      <w:r>
        <w:t xml:space="preserve"> </w:t>
      </w:r>
      <w:r>
        <w:t xml:space="preserve">breaks logon while leaving cloud applications working.</w:t>
      </w:r>
    </w:p>
    <w:bookmarkEnd w:id="39"/>
    <w:bookmarkStart w:id="40" w:name="glossary"/>
    <w:p>
      <w:pPr>
        <w:pStyle w:val="Heading1"/>
      </w:pPr>
      <w:r>
        <w:t xml:space="preserve">9. Glossary</w:t>
      </w:r>
    </w:p>
    <w:p>
      <w:pPr>
        <w:pStyle w:val="FirstParagraph"/>
      </w:pPr>
      <w:r>
        <w:rPr>
          <w:b/>
          <w:bCs/>
        </w:rPr>
        <w:t xml:space="preserve">AC-17 (Remote Access).</w:t>
      </w:r>
      <w:r>
        <w:t xml:space="preserve"> </w:t>
      </w:r>
      <w:r>
        <w:t xml:space="preserve">NIST SP 800-53 Rev 5 control requiring</w:t>
      </w:r>
      <w:r>
        <w:t xml:space="preserve"> </w:t>
      </w:r>
      <w:r>
        <w:t xml:space="preserve">establishment, documentation, monitoring and control of remote access</w:t>
      </w:r>
      <w:r>
        <w:t xml:space="preserve"> </w:t>
      </w:r>
      <w:r>
        <w:t xml:space="preserve">methods.</w:t>
      </w:r>
    </w:p>
    <w:p>
      <w:pPr>
        <w:pStyle w:val="BodyText"/>
      </w:pPr>
      <w:r>
        <w:rPr>
          <w:b/>
          <w:bCs/>
        </w:rPr>
        <w:t xml:space="preserve">CLAW (Cloud Log Aggregation Warehouse).</w:t>
      </w:r>
      <w:r>
        <w:t xml:space="preserve"> </w:t>
      </w:r>
      <w:r>
        <w:t xml:space="preserve">CISA’s log collection</w:t>
      </w:r>
      <w:r>
        <w:t xml:space="preserve"> </w:t>
      </w:r>
      <w:r>
        <w:t xml:space="preserve">capability for agency telemetry under the National Cybersecurity</w:t>
      </w:r>
      <w:r>
        <w:t xml:space="preserve"> </w:t>
      </w:r>
      <w:r>
        <w:t xml:space="preserve">Protection System cloud interface architecture, and the mechanism</w:t>
      </w:r>
      <w:r>
        <w:t xml:space="preserve"> </w:t>
      </w:r>
      <w:r>
        <w:t xml:space="preserve">through which agencies operating alternative TIC 3.0 architectures share</w:t>
      </w:r>
      <w:r>
        <w:t xml:space="preserve"> </w:t>
      </w:r>
      <w:r>
        <w:t xml:space="preserve">required telemetry.</w:t>
      </w:r>
      <w:r>
        <w:t xml:space="preserve"> </w:t>
      </w:r>
      <w:r>
        <w:rPr>
          <w:i/>
          <w:iCs/>
        </w:rPr>
        <w:t xml:space="preserve">Version 1.0 expanded this as</w:t>
      </w:r>
      <w:r>
        <w:rPr>
          <w:i/>
          <w:iCs/>
        </w:rPr>
        <w:t xml:space="preserve"> </w:t>
      </w:r>
      <w:r>
        <w:rPr>
          <w:i/>
          <w:iCs/>
        </w:rPr>
        <w:t xml:space="preserve">“Comprehensive Log</w:t>
      </w:r>
      <w:r>
        <w:rPr>
          <w:i/>
          <w:iCs/>
        </w:rPr>
        <w:t xml:space="preserve"> </w:t>
      </w:r>
      <w:r>
        <w:rPr>
          <w:i/>
          <w:iCs/>
        </w:rPr>
        <w:t xml:space="preserve">Aggregation Warehouse,”</w:t>
      </w:r>
      <w:r>
        <w:rPr>
          <w:i/>
          <w:iCs/>
        </w:rPr>
        <w:t xml:space="preserve"> </w:t>
      </w:r>
      <w:r>
        <w:rPr>
          <w:i/>
          <w:iCs/>
        </w:rPr>
        <w:t xml:space="preserve">which is not the term. The expansion given here</w:t>
      </w:r>
      <w:r>
        <w:rPr>
          <w:i/>
          <w:iCs/>
        </w:rPr>
        <w:t xml:space="preserve"> </w:t>
      </w:r>
      <w:r>
        <w:rPr>
          <w:i/>
          <w:iCs/>
        </w:rPr>
        <w:t xml:space="preserve">should be confirmed against the current NCPS Cloud Interface Reference</w:t>
      </w:r>
      <w:r>
        <w:rPr>
          <w:i/>
          <w:iCs/>
        </w:rPr>
        <w:t xml:space="preserve"> </w:t>
      </w:r>
      <w:r>
        <w:rPr>
          <w:i/>
          <w:iCs/>
        </w:rPr>
        <w:t xml:space="preserve">Architecture before citation.</w:t>
      </w:r>
    </w:p>
    <w:p>
      <w:pPr>
        <w:pStyle w:val="BodyText"/>
      </w:pPr>
      <w:r>
        <w:rPr>
          <w:b/>
          <w:bCs/>
        </w:rPr>
        <w:t xml:space="preserve">DIA (Direct Internet Access).</w:t>
      </w:r>
      <w:r>
        <w:t xml:space="preserve"> </w:t>
      </w:r>
      <w:r>
        <w:t xml:space="preserve">Local internet breakout at a branch</w:t>
      </w:r>
      <w:r>
        <w:t xml:space="preserve"> </w:t>
      </w:r>
      <w:r>
        <w:t xml:space="preserve">office, rather than backhauling internet-bound traffic to a central</w:t>
      </w:r>
      <w:r>
        <w:t xml:space="preserve"> </w:t>
      </w:r>
      <w:r>
        <w:t xml:space="preserve">access point.</w:t>
      </w:r>
      <w:r>
        <w:t xml:space="preserve"> </w:t>
      </w:r>
      <w:r>
        <w:rPr>
          <w:i/>
          <w:iCs/>
        </w:rPr>
        <w:t xml:space="preserve">Version 1.0 defined DIA as a</w:t>
      </w:r>
      <w:r>
        <w:rPr>
          <w:i/>
          <w:iCs/>
        </w:rPr>
        <w:t xml:space="preserve"> </w:t>
      </w:r>
      <w:r>
        <w:rPr>
          <w:i/>
          <w:iCs/>
        </w:rPr>
        <w:t xml:space="preserve">“Defense Information Systems</w:t>
      </w:r>
      <w:r>
        <w:rPr>
          <w:i/>
          <w:iCs/>
        </w:rPr>
        <w:t xml:space="preserve"> </w:t>
      </w:r>
      <w:r>
        <w:rPr>
          <w:i/>
          <w:iCs/>
        </w:rPr>
        <w:t xml:space="preserve">Agency circuit.”</w:t>
      </w:r>
      <w:r>
        <w:rPr>
          <w:i/>
          <w:iCs/>
        </w:rPr>
        <w:t xml:space="preserve"> </w:t>
      </w:r>
      <w:r>
        <w:rPr>
          <w:i/>
          <w:iCs/>
        </w:rPr>
        <w:t xml:space="preserve">That is wrong twice: DISA is the Defense Information</w:t>
      </w:r>
      <w:r>
        <w:rPr>
          <w:i/>
          <w:iCs/>
        </w:rPr>
        <w:t xml:space="preserve"> </w:t>
      </w:r>
      <w:r>
        <w:rPr>
          <w:i/>
          <w:iCs/>
        </w:rPr>
        <w:t xml:space="preserve">Systems Agency, and DIA is the Defense Intelligence Agency. DISA’s</w:t>
      </w:r>
      <w:r>
        <w:rPr>
          <w:i/>
          <w:iCs/>
        </w:rPr>
        <w:t xml:space="preserve"> </w:t>
      </w:r>
      <w:r>
        <w:rPr>
          <w:i/>
          <w:iCs/>
        </w:rPr>
        <w:t xml:space="preserve">transport network is DISN.</w:t>
      </w:r>
    </w:p>
    <w:p>
      <w:pPr>
        <w:pStyle w:val="BodyText"/>
      </w:pPr>
      <w:r>
        <w:rPr>
          <w:b/>
          <w:bCs/>
        </w:rPr>
        <w:t xml:space="preserve">FedRAMP.</w:t>
      </w:r>
      <w:r>
        <w:t xml:space="preserve"> </w:t>
      </w:r>
      <w:r>
        <w:t xml:space="preserve">The federal authorization programme for cloud service</w:t>
      </w:r>
      <w:r>
        <w:t xml:space="preserve"> </w:t>
      </w:r>
      <w:r>
        <w:t xml:space="preserve">offerings, assessed against NIST SP 800-53 Rev 5. It governs the</w:t>
      </w:r>
      <w:r>
        <w:t xml:space="preserve"> </w:t>
      </w:r>
      <w:r>
        <w:t xml:space="preserve">security posture of the service, not the network path used to reach it.</w:t>
      </w:r>
      <w:r>
        <w:t xml:space="preserve"> </w:t>
      </w:r>
      <w:r>
        <w:t xml:space="preserve">Under the Consolidated Rules for 2026,</w:t>
      </w:r>
      <w:r>
        <w:t xml:space="preserve"> </w:t>
      </w:r>
      <w:r>
        <w:t xml:space="preserve">“authorization”</w:t>
      </w:r>
      <w:r>
        <w:t xml:space="preserve"> </w:t>
      </w:r>
      <w:r>
        <w:t xml:space="preserve">becomes</w:t>
      </w:r>
      <w:r>
        <w:t xml:space="preserve"> </w:t>
      </w:r>
      <w:r>
        <w:t xml:space="preserve">“certification”</w:t>
      </w:r>
      <w:r>
        <w:t xml:space="preserve"> </w:t>
      </w:r>
      <w:r>
        <w:t xml:space="preserve">and impact levels become Certification Classes A–D,</w:t>
      </w:r>
      <w:r>
        <w:t xml:space="preserve"> </w:t>
      </w:r>
      <w:r>
        <w:t xml:space="preserve">with mandatory adoption on 1 January 2027. No current FedRAMP Moderate</w:t>
      </w:r>
      <w:r>
        <w:t xml:space="preserve"> </w:t>
      </w:r>
      <w:r>
        <w:t xml:space="preserve">control count is citable following Notice 0013 (16 June 2026).</w:t>
      </w:r>
    </w:p>
    <w:p>
      <w:pPr>
        <w:pStyle w:val="BodyText"/>
      </w:pPr>
      <w:r>
        <w:rPr>
          <w:b/>
          <w:bCs/>
        </w:rPr>
        <w:t xml:space="preserve">Hairpin routing.</w:t>
      </w:r>
      <w:r>
        <w:t xml:space="preserve"> </w:t>
      </w:r>
      <w:r>
        <w:t xml:space="preserve">Routing that sends traffic to a central point and</w:t>
      </w:r>
      <w:r>
        <w:t xml:space="preserve"> </w:t>
      </w:r>
      <w:r>
        <w:t xml:space="preserve">back before it reaches its destination, even where a shorter path</w:t>
      </w:r>
      <w:r>
        <w:t xml:space="preserve"> </w:t>
      </w:r>
      <w:r>
        <w:t xml:space="preserve">exists. The TIC 1.0/2.0 model that TIC 3.0 permits agencies to leave.</w:t>
      </w:r>
    </w:p>
    <w:p>
      <w:pPr>
        <w:pStyle w:val="BodyText"/>
      </w:pPr>
      <w:r>
        <w:rPr>
          <w:b/>
          <w:bCs/>
        </w:rPr>
        <w:t xml:space="preserve">Kerberos.</w:t>
      </w:r>
      <w:r>
        <w:t xml:space="preserve"> </w:t>
      </w:r>
      <w:r>
        <w:t xml:space="preserve">Network authentication protocol (RFC 4120) using symmetric</w:t>
      </w:r>
      <w:r>
        <w:t xml:space="preserve"> </w:t>
      </w:r>
      <w:r>
        <w:t xml:space="preserve">cryptography and a Key Distribution Center. Default Active Directory</w:t>
      </w:r>
      <w:r>
        <w:t xml:space="preserve"> </w:t>
      </w:r>
      <w:r>
        <w:t xml:space="preserve">ticket lifetimes are 10 hours for a ticket-granting ticket with 7-day</w:t>
      </w:r>
      <w:r>
        <w:t xml:space="preserve"> </w:t>
      </w:r>
      <w:r>
        <w:t xml:space="preserve">renewal and 600 minutes for service tickets; clock-skew tolerance is 5</w:t>
      </w:r>
      <w:r>
        <w:t xml:space="preserve"> </w:t>
      </w:r>
      <w:r>
        <w:t xml:space="preserve">minutes.</w:t>
      </w:r>
      <w:r>
        <w:t xml:space="preserve"> </w:t>
      </w:r>
      <w:r>
        <w:rPr>
          <w:b/>
          <w:bCs/>
        </w:rPr>
        <w:t xml:space="preserve">Windows KDCs do not populate or check the ticket</w:t>
      </w:r>
      <w:r>
        <w:rPr>
          <w:b/>
          <w:bCs/>
        </w:rPr>
        <w:t xml:space="preserve"> </w:t>
      </w:r>
      <w:r>
        <w:rPr>
          <w:b/>
          <w:bCs/>
        </w:rPr>
        <w:t xml:space="preserve">client-address field by default</w:t>
      </w:r>
      <w:r>
        <w:t xml:space="preserve">, so Kerberos operates normally across</w:t>
      </w:r>
      <w:r>
        <w:t xml:space="preserve"> </w:t>
      </w:r>
      <w:r>
        <w:t xml:space="preserve">NAT.</w:t>
      </w:r>
    </w:p>
    <w:p>
      <w:pPr>
        <w:pStyle w:val="BodyText"/>
      </w:pPr>
      <w:r>
        <w:rPr>
          <w:b/>
          <w:bCs/>
        </w:rPr>
        <w:t xml:space="preserve">MTIPS (Managed Trusted Internet Protocol Services).</w:t>
      </w:r>
      <w:r>
        <w:t xml:space="preserve"> </w:t>
      </w:r>
      <w:r>
        <w:t xml:space="preserve">GSA-contracted</w:t>
      </w:r>
      <w:r>
        <w:t xml:space="preserve"> </w:t>
      </w:r>
      <w:r>
        <w:t xml:space="preserve">managed TIC access point service. Now delivered under EIS; Networx</w:t>
      </w:r>
      <w:r>
        <w:t xml:space="preserve"> </w:t>
      </w:r>
      <w:r>
        <w:t xml:space="preserve">expired 31 May 2026 and WITS 3 expired 28 February 2026.</w:t>
      </w:r>
    </w:p>
    <w:p>
      <w:pPr>
        <w:pStyle w:val="BodyText"/>
      </w:pPr>
      <w:r>
        <w:rPr>
          <w:b/>
          <w:bCs/>
        </w:rPr>
        <w:t xml:space="preserve">Phase inversion.</w:t>
      </w:r>
      <w:r>
        <w:t xml:space="preserve"> </w:t>
      </w:r>
      <w:r>
        <w:t xml:space="preserve">The failure mode in which cloud migration completes</w:t>
      </w:r>
      <w:r>
        <w:t xml:space="preserve"> </w:t>
      </w:r>
      <w:r>
        <w:t xml:space="preserve">before transport is governed and measurable, so that</w:t>
      </w:r>
      <w:r>
        <w:t xml:space="preserve"> </w:t>
      </w:r>
      <w:r>
        <w:t xml:space="preserve">transport-attributable cost is absorbed as cloud cost and the remedies</w:t>
      </w:r>
      <w:r>
        <w:t xml:space="preserve"> </w:t>
      </w:r>
      <w:r>
        <w:t xml:space="preserve">chosen raise the cost that was misattributed. (§7.2)</w:t>
      </w:r>
    </w:p>
    <w:p>
      <w:pPr>
        <w:pStyle w:val="BodyText"/>
      </w:pPr>
      <w:r>
        <w:rPr>
          <w:b/>
          <w:bCs/>
        </w:rPr>
        <w:t xml:space="preserve">SASE (Secure Access Service Edge).</w:t>
      </w:r>
      <w:r>
        <w:t xml:space="preserve"> </w:t>
      </w:r>
      <w:r>
        <w:t xml:space="preserve">An industry architecture</w:t>
      </w:r>
      <w:r>
        <w:t xml:space="preserve"> </w:t>
      </w:r>
      <w:r>
        <w:t xml:space="preserve">converging network security functions — secure web gateway, cloud</w:t>
      </w:r>
      <w:r>
        <w:t xml:space="preserve"> </w:t>
      </w:r>
      <w:r>
        <w:t xml:space="preserve">access security broker, firewall-as-a-service and zero trust network</w:t>
      </w:r>
      <w:r>
        <w:t xml:space="preserve"> </w:t>
      </w:r>
      <w:r>
        <w:t xml:space="preserve">access — into a cloud-delivered service at distributed points of</w:t>
      </w:r>
      <w:r>
        <w:t xml:space="preserve"> </w:t>
      </w:r>
      <w:r>
        <w:t xml:space="preserve">presence, generally alongside SD-WAN.</w:t>
      </w:r>
      <w:r>
        <w:t xml:space="preserve"> </w:t>
      </w:r>
      <w:r>
        <w:rPr>
          <w:i/>
          <w:iCs/>
        </w:rPr>
        <w:t xml:space="preserve">CISA has not published a SASE</w:t>
      </w:r>
      <w:r>
        <w:rPr>
          <w:i/>
          <w:iCs/>
        </w:rPr>
        <w:t xml:space="preserve"> </w:t>
      </w:r>
      <w:r>
        <w:rPr>
          <w:i/>
          <w:iCs/>
        </w:rPr>
        <w:t xml:space="preserve">definition this paper could verify, and does not mandate SASE or</w:t>
      </w:r>
      <w:r>
        <w:rPr>
          <w:i/>
          <w:iCs/>
        </w:rPr>
        <w:t xml:space="preserve"> </w:t>
      </w:r>
      <w:r>
        <w:rPr>
          <w:i/>
          <w:iCs/>
        </w:rPr>
        <w:t xml:space="preserve">SD-WAN.</w:t>
      </w:r>
    </w:p>
    <w:p>
      <w:pPr>
        <w:pStyle w:val="BodyText"/>
      </w:pPr>
      <w:r>
        <w:rPr>
          <w:b/>
          <w:bCs/>
        </w:rPr>
        <w:t xml:space="preserve">SD-WAN (Software-Defined Wide Area Networking).</w:t>
      </w:r>
      <w:r>
        <w:t xml:space="preserve"> </w:t>
      </w:r>
      <w:r>
        <w:t xml:space="preserve">Branch-edge WAN</w:t>
      </w:r>
      <w:r>
        <w:t xml:space="preserve"> </w:t>
      </w:r>
      <w:r>
        <w:t xml:space="preserve">control providing application-aware routing policy, multi-link</w:t>
      </w:r>
      <w:r>
        <w:t xml:space="preserve"> </w:t>
      </w:r>
      <w:r>
        <w:t xml:space="preserve">aggregation, continuous path health measurement, QoS enforcement and</w:t>
      </w:r>
      <w:r>
        <w:t xml:space="preserve"> </w:t>
      </w:r>
      <w:r>
        <w:t xml:space="preserve">per-application telemetry.</w:t>
      </w:r>
    </w:p>
    <w:p>
      <w:pPr>
        <w:pStyle w:val="BodyText"/>
      </w:pPr>
      <w:r>
        <w:rPr>
          <w:b/>
          <w:bCs/>
        </w:rPr>
        <w:t xml:space="preserve">SC-7 (Boundary Protection) / SI-4 (System Monitoring).</w:t>
      </w:r>
      <w:r>
        <w:t xml:space="preserve"> </w:t>
      </w:r>
      <w:r>
        <w:t xml:space="preserve">NIST SP</w:t>
      </w:r>
      <w:r>
        <w:t xml:space="preserve"> </w:t>
      </w:r>
      <w:r>
        <w:t xml:space="preserve">800-53 Rev 5 controls covering monitoring and control of communications</w:t>
      </w:r>
      <w:r>
        <w:t xml:space="preserve"> </w:t>
      </w:r>
      <w:r>
        <w:t xml:space="preserve">at system boundaries, and monitoring to detect attacks and indicators of</w:t>
      </w:r>
      <w:r>
        <w:t xml:space="preserve"> </w:t>
      </w:r>
      <w:r>
        <w:t xml:space="preserve">attack. Both are asserted at the branch when the branch is an external</w:t>
      </w:r>
      <w:r>
        <w:t xml:space="preserve"> </w:t>
      </w:r>
      <w:r>
        <w:t xml:space="preserve">boundary.</w:t>
      </w:r>
    </w:p>
    <w:p>
      <w:pPr>
        <w:pStyle w:val="BodyText"/>
      </w:pPr>
      <w:r>
        <w:rPr>
          <w:b/>
          <w:bCs/>
        </w:rPr>
        <w:t xml:space="preserve">SNAT (Source Network Address Translation).</w:t>
      </w:r>
      <w:r>
        <w:t xml:space="preserve"> </w:t>
      </w:r>
      <w:r>
        <w:t xml:space="preserve">Replacement of a packet’s</w:t>
      </w:r>
      <w:r>
        <w:t xml:space="preserve"> </w:t>
      </w:r>
      <w:r>
        <w:t xml:space="preserve">source address by a gateway. Relevant here because applications that key</w:t>
      </w:r>
      <w:r>
        <w:t xml:space="preserve"> </w:t>
      </w:r>
      <w:r>
        <w:t xml:space="preserve">state to a client address, and policies that evaluate network location,</w:t>
      </w:r>
      <w:r>
        <w:t xml:space="preserve"> </w:t>
      </w:r>
      <w:r>
        <w:t xml:space="preserve">are affected by egress address changes —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because it breaks</w:t>
      </w:r>
      <w:r>
        <w:t xml:space="preserve"> </w:t>
      </w:r>
      <w:r>
        <w:t xml:space="preserve">Kerberos.</w:t>
      </w:r>
    </w:p>
    <w:p>
      <w:pPr>
        <w:pStyle w:val="BodyText"/>
      </w:pPr>
      <w:r>
        <w:rPr>
          <w:b/>
          <w:bCs/>
        </w:rPr>
        <w:t xml:space="preserve">TDS (Tabular Data Stream).</w:t>
      </w:r>
      <w:r>
        <w:t xml:space="preserve"> </w:t>
      </w:r>
      <w:r>
        <w:t xml:space="preserve">Microsoft SQL Server’s client-server</w:t>
      </w:r>
      <w:r>
        <w:t xml:space="preserve"> </w:t>
      </w:r>
      <w:r>
        <w:t xml:space="preserve">protocol over TCP 1433. Stateful and session-oriented; sensitive to</w:t>
      </w:r>
      <w:r>
        <w:t xml:space="preserve"> </w:t>
      </w:r>
      <w:r>
        <w:t xml:space="preserve">connection resets and proxy idle timeouts, and to source-address changes</w:t>
      </w:r>
      <w:r>
        <w:t xml:space="preserve"> </w:t>
      </w:r>
      <w:r>
        <w:t xml:space="preserve">where the application or path depends on address continuity.</w:t>
      </w:r>
    </w:p>
    <w:p>
      <w:pPr>
        <w:pStyle w:val="BodyText"/>
      </w:pPr>
      <w:r>
        <w:rPr>
          <w:b/>
          <w:bCs/>
        </w:rPr>
        <w:t xml:space="preserve">TIC 3.0.</w:t>
      </w:r>
      <w:r>
        <w:t xml:space="preserve"> </w:t>
      </w:r>
      <w:r>
        <w:t xml:space="preserve">The capability-based TIC model authorized by OMB M-19-26</w:t>
      </w:r>
      <w:r>
        <w:t xml:space="preserve"> </w:t>
      </w:r>
      <w:r>
        <w:t xml:space="preserve">(12 September 2019), which rescinded M-08-05. Descriptive rather than</w:t>
      </w:r>
      <w:r>
        <w:t xml:space="preserve"> </w:t>
      </w:r>
      <w:r>
        <w:t xml:space="preserve">prescriptive: it mandates no technology, vendor or topology.</w:t>
      </w:r>
    </w:p>
    <w:p>
      <w:pPr>
        <w:pStyle w:val="BodyText"/>
      </w:pPr>
      <w:r>
        <w:rPr>
          <w:b/>
          <w:bCs/>
        </w:rPr>
        <w:t xml:space="preserve">ZTNA (Zero Trust Network Access).</w:t>
      </w:r>
      <w:r>
        <w:t xml:space="preserve"> </w:t>
      </w:r>
      <w:r>
        <w:t xml:space="preserve">Per-session, per-application</w:t>
      </w:r>
      <w:r>
        <w:t xml:space="preserve"> </w:t>
      </w:r>
      <w:r>
        <w:t xml:space="preserve">access decisions based on verified identity, device posture and context</w:t>
      </w:r>
      <w:r>
        <w:t xml:space="preserve"> </w:t>
      </w:r>
      <w:r>
        <w:t xml:space="preserve">rather than network location.</w:t>
      </w:r>
    </w:p>
    <w:bookmarkEnd w:id="40"/>
    <w:bookmarkStart w:id="41" w:name="sources-and-verification-status"/>
    <w:p>
      <w:pPr>
        <w:pStyle w:val="Heading1"/>
      </w:pPr>
      <w:r>
        <w:t xml:space="preserve">10. Sources and verification status</w:t>
      </w:r>
    </w:p>
    <w:p>
      <w:pPr>
        <w:pStyle w:val="FirstParagraph"/>
      </w:pPr>
      <w:r>
        <w:t xml:space="preserve">Every external claim in this paper falls into one of three categories.</w:t>
      </w:r>
      <w:r>
        <w:t xml:space="preserve"> </w:t>
      </w:r>
      <w:r>
        <w:t xml:space="preserve">Claims in the third category are marked in the text wherever they</w:t>
      </w:r>
      <w:r>
        <w:t xml:space="preserve"> </w:t>
      </w:r>
      <w:r>
        <w:t xml:space="preserve">appear.</w:t>
      </w:r>
    </w:p>
    <w:p>
      <w:pPr>
        <w:pStyle w:val="BodyText"/>
      </w:pPr>
      <w:r>
        <w:rPr>
          <w:b/>
          <w:bCs/>
        </w:rPr>
        <w:t xml:space="preserve">Confirmed against a primary source for this revision</w:t>
      </w:r>
    </w:p>
    <w:p>
      <w:pPr>
        <w:pStyle w:val="Compact"/>
        <w:numPr>
          <w:ilvl w:val="0"/>
          <w:numId w:val="1011"/>
        </w:numPr>
      </w:pPr>
      <w:r>
        <w:t xml:space="preserve">OMB M-19-26,</w:t>
      </w:r>
      <w:r>
        <w:t xml:space="preserve"> </w:t>
      </w:r>
      <w:r>
        <w:rPr>
          <w:i/>
          <w:iCs/>
        </w:rPr>
        <w:t xml:space="preserve">Update to the Trusted Internet Connections (TIC)</w:t>
      </w:r>
      <w:r>
        <w:rPr>
          <w:i/>
          <w:iCs/>
        </w:rPr>
        <w:t xml:space="preserve"> </w:t>
      </w:r>
      <w:r>
        <w:rPr>
          <w:i/>
          <w:iCs/>
        </w:rPr>
        <w:t xml:space="preserve">Initiative</w:t>
      </w:r>
      <w:r>
        <w:t xml:space="preserve">, 12 September 2019 — including its rescission of</w:t>
      </w:r>
      <w:r>
        <w:t xml:space="preserve"> </w:t>
      </w:r>
      <w:r>
        <w:t xml:space="preserve">M-08-05, M-08-16, M-08-27 and M-09-32.</w:t>
      </w:r>
    </w:p>
    <w:p>
      <w:pPr>
        <w:pStyle w:val="Compact"/>
        <w:numPr>
          <w:ilvl w:val="0"/>
          <w:numId w:val="1011"/>
        </w:numPr>
      </w:pPr>
      <w:r>
        <w:t xml:space="preserve">OMB M-22-09,</w:t>
      </w:r>
      <w:r>
        <w:t xml:space="preserve"> </w:t>
      </w:r>
      <w:r>
        <w:rPr>
          <w:i/>
          <w:iCs/>
        </w:rPr>
        <w:t xml:space="preserve">Moving the U.S. Government Toward Zero Trust</w:t>
      </w:r>
      <w:r>
        <w:rPr>
          <w:i/>
          <w:iCs/>
        </w:rPr>
        <w:t xml:space="preserve"> </w:t>
      </w:r>
      <w:r>
        <w:rPr>
          <w:i/>
          <w:iCs/>
        </w:rPr>
        <w:t xml:space="preserve">Cybersecurity Principles</w:t>
      </w:r>
      <w:r>
        <w:t xml:space="preserve">, 26 January 2022 — operative; FY2024</w:t>
      </w:r>
      <w:r>
        <w:t xml:space="preserve"> </w:t>
      </w:r>
      <w:r>
        <w:t xml:space="preserve">deadlines expired 30 September 2024; no successor.</w:t>
      </w:r>
    </w:p>
    <w:p>
      <w:pPr>
        <w:pStyle w:val="Compact"/>
        <w:numPr>
          <w:ilvl w:val="0"/>
          <w:numId w:val="1011"/>
        </w:numPr>
      </w:pPr>
      <w:r>
        <w:t xml:space="preserve">OMB M-26-14,</w:t>
      </w:r>
      <w:r>
        <w:t xml:space="preserve"> </w:t>
      </w:r>
      <w:r>
        <w:rPr>
          <w:i/>
          <w:iCs/>
        </w:rPr>
        <w:t xml:space="preserve">Ensuring Effective and Efficient Agency Logging and</w:t>
      </w:r>
      <w:r>
        <w:rPr>
          <w:i/>
          <w:iCs/>
        </w:rPr>
        <w:t xml:space="preserve"> </w:t>
      </w:r>
      <w:r>
        <w:rPr>
          <w:i/>
          <w:iCs/>
        </w:rPr>
        <w:t xml:space="preserve">Network Visibility</w:t>
      </w:r>
      <w:r>
        <w:t xml:space="preserve">, 22 May 2026 — rescinds M-21-31; five-level</w:t>
      </w:r>
      <w:r>
        <w:t xml:space="preserve"> </w:t>
      </w:r>
      <w:r>
        <w:t xml:space="preserve">maturity model; retention six months searchable / one year</w:t>
      </w:r>
      <w:r>
        <w:t xml:space="preserve"> </w:t>
      </w:r>
      <w:r>
        <w:t xml:space="preserve">retrievable; plans due 90 days after CISA’s Logging Reference</w:t>
      </w:r>
      <w:r>
        <w:t xml:space="preserve"> </w:t>
      </w:r>
      <w:r>
        <w:t xml:space="preserve">Architecture.</w:t>
      </w:r>
    </w:p>
    <w:p>
      <w:pPr>
        <w:pStyle w:val="Compact"/>
        <w:numPr>
          <w:ilvl w:val="0"/>
          <w:numId w:val="1011"/>
        </w:numPr>
      </w:pPr>
      <w:r>
        <w:t xml:space="preserve">CISA BOD 26-04,</w:t>
      </w:r>
      <w:r>
        <w:t xml:space="preserve"> </w:t>
      </w:r>
      <w:r>
        <w:rPr>
          <w:i/>
          <w:iCs/>
        </w:rPr>
        <w:t xml:space="preserve">Prioritizing Security Updates Based on Risk</w:t>
      </w:r>
      <w:r>
        <w:t xml:space="preserve">, 10</w:t>
      </w:r>
      <w:r>
        <w:t xml:space="preserve"> </w:t>
      </w:r>
      <w:r>
        <w:t xml:space="preserve">June 2026 — revokes BOD 22-01 and BOD 19-02.</w:t>
      </w:r>
    </w:p>
    <w:p>
      <w:pPr>
        <w:pStyle w:val="Compact"/>
        <w:numPr>
          <w:ilvl w:val="0"/>
          <w:numId w:val="1011"/>
        </w:numPr>
      </w:pPr>
      <w:r>
        <w:t xml:space="preserve">CISA ED 26-03,</w:t>
      </w:r>
      <w:r>
        <w:t xml:space="preserve"> </w:t>
      </w:r>
      <w:r>
        <w:rPr>
          <w:i/>
          <w:iCs/>
        </w:rPr>
        <w:t xml:space="preserve">Mitigate Vulnerabilities in Cisco SD-WAN Systems</w:t>
      </w:r>
      <w:r>
        <w:t xml:space="preserve">,</w:t>
      </w:r>
      <w:r>
        <w:t xml:space="preserve"> </w:t>
      </w:r>
      <w:r>
        <w:t xml:space="preserve">26 February 2026.</w:t>
      </w:r>
    </w:p>
    <w:p>
      <w:pPr>
        <w:pStyle w:val="Compact"/>
        <w:numPr>
          <w:ilvl w:val="0"/>
          <w:numId w:val="1011"/>
        </w:numPr>
      </w:pPr>
      <w:r>
        <w:t xml:space="preserve">Executive Order 14028 (12 May 2021), as amended by Executive Order</w:t>
      </w:r>
      <w:r>
        <w:t xml:space="preserve"> </w:t>
      </w:r>
      <w:r>
        <w:t xml:space="preserve">14306 (6 June 2025).</w:t>
      </w:r>
    </w:p>
    <w:p>
      <w:pPr>
        <w:pStyle w:val="Compact"/>
        <w:numPr>
          <w:ilvl w:val="0"/>
          <w:numId w:val="1011"/>
        </w:numPr>
      </w:pPr>
      <w:r>
        <w:t xml:space="preserve">NIST SP 800-53 Rev 5 (current; Release 5.2.0, 27 August 2025). There</w:t>
      </w:r>
      <w:r>
        <w:t xml:space="preserve"> </w:t>
      </w:r>
      <w:r>
        <w:t xml:space="preserve">is no Revision 6.</w:t>
      </w:r>
    </w:p>
    <w:p>
      <w:pPr>
        <w:pStyle w:val="Compact"/>
        <w:numPr>
          <w:ilvl w:val="0"/>
          <w:numId w:val="1011"/>
        </w:numPr>
      </w:pPr>
      <w:r>
        <w:t xml:space="preserve">NIST SP 800-207,</w:t>
      </w:r>
      <w:r>
        <w:t xml:space="preserve"> </w:t>
      </w:r>
      <w:r>
        <w:rPr>
          <w:i/>
          <w:iCs/>
        </w:rPr>
        <w:t xml:space="preserve">Zero Trust Architecture</w:t>
      </w:r>
      <w:r>
        <w:t xml:space="preserve"> </w:t>
      </w:r>
      <w:r>
        <w:t xml:space="preserve">(11 August 2020) —</w:t>
      </w:r>
      <w:r>
        <w:t xml:space="preserve"> </w:t>
      </w:r>
      <w:r>
        <w:t xml:space="preserve">conceptual and unrevised — and</w:t>
      </w:r>
      <w:r>
        <w:t xml:space="preserve"> </w:t>
      </w:r>
      <w:r>
        <w:rPr>
          <w:b/>
          <w:bCs/>
        </w:rPr>
        <w:t xml:space="preserve">NIST SP 1800-35,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Implementing a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Zero Trust Architecture</w:t>
      </w:r>
      <w:r>
        <w:rPr>
          <w:b/>
          <w:bCs/>
        </w:rPr>
        <w:t xml:space="preserve"> </w:t>
      </w:r>
      <w:r>
        <w:rPr>
          <w:b/>
          <w:bCs/>
        </w:rPr>
        <w:t xml:space="preserve">(final 10 June 2025)</w:t>
      </w:r>
      <w:r>
        <w:t xml:space="preserve">, the operative</w:t>
      </w:r>
      <w:r>
        <w:t xml:space="preserve"> </w:t>
      </w:r>
      <w:r>
        <w:t xml:space="preserve">federal implementation guidance, which version 1.0 did not cite.</w:t>
      </w:r>
    </w:p>
    <w:p>
      <w:pPr>
        <w:pStyle w:val="Compact"/>
        <w:numPr>
          <w:ilvl w:val="0"/>
          <w:numId w:val="1011"/>
        </w:numPr>
      </w:pPr>
      <w:r>
        <w:t xml:space="preserve">NIST SP 800-63B-4,</w:t>
      </w:r>
      <w:r>
        <w:t xml:space="preserve"> </w:t>
      </w:r>
      <w:r>
        <w:rPr>
          <w:i/>
          <w:iCs/>
        </w:rPr>
        <w:t xml:space="preserve">Digital Identity Guidelines: Authentication and</w:t>
      </w:r>
      <w:r>
        <w:rPr>
          <w:i/>
          <w:iCs/>
        </w:rPr>
        <w:t xml:space="preserve"> </w:t>
      </w:r>
      <w:r>
        <w:rPr>
          <w:i/>
          <w:iCs/>
        </w:rPr>
        <w:t xml:space="preserve">Lifecycle Management</w:t>
      </w:r>
      <w:r>
        <w:t xml:space="preserve">, final 31 July 2025 — reauthentication</w:t>
      </w:r>
      <w:r>
        <w:t xml:space="preserve"> </w:t>
      </w:r>
      <w:r>
        <w:t xml:space="preserve">intervals as cited in §5.1.</w:t>
      </w:r>
    </w:p>
    <w:p>
      <w:pPr>
        <w:pStyle w:val="Compact"/>
        <w:numPr>
          <w:ilvl w:val="0"/>
          <w:numId w:val="1011"/>
        </w:numPr>
      </w:pPr>
      <w:r>
        <w:t xml:space="preserve">Microsoft Kerberos KDC registry configuration:</w:t>
      </w:r>
      <w:r>
        <w:t xml:space="preserve"> </w:t>
      </w:r>
      <w:r>
        <w:rPr>
          <w:rStyle w:val="VerbatimChar"/>
        </w:rPr>
        <w:t xml:space="preserve">KdcUseClientAddresses</w:t>
      </w:r>
      <w:r>
        <w:t xml:space="preserve"> </w:t>
      </w:r>
      <w:r>
        <w:t xml:space="preserve">default 0;</w:t>
      </w:r>
      <w:r>
        <w:t xml:space="preserve"> </w:t>
      </w:r>
      <w:r>
        <w:rPr>
          <w:rStyle w:val="VerbatimChar"/>
        </w:rPr>
        <w:t xml:space="preserve">KdcDontCheckAddresses</w:t>
      </w:r>
      <w:r>
        <w:t xml:space="preserve"> </w:t>
      </w:r>
      <w:r>
        <w:t xml:space="preserve">default</w:t>
      </w:r>
      <w:r>
        <w:t xml:space="preserve"> </w:t>
      </w:r>
      <w:r>
        <w:t xml:space="preserve">1;</w:t>
      </w:r>
      <w:r>
        <w:t xml:space="preserve"> </w:t>
      </w:r>
      <w:r>
        <w:rPr>
          <w:rStyle w:val="VerbatimChar"/>
        </w:rPr>
        <w:t xml:space="preserve">SkewTime</w:t>
      </w:r>
      <w:r>
        <w:t xml:space="preserve"> </w:t>
      </w:r>
      <w:r>
        <w:t xml:space="preserve">default 5 minutes. Active Directory schema defaults:</w:t>
      </w:r>
      <w:r>
        <w:t xml:space="preserve"> </w:t>
      </w:r>
      <w:r>
        <w:rPr>
          <w:rStyle w:val="VerbatimChar"/>
        </w:rPr>
        <w:t xml:space="preserve">Max-Ticket-Age</w:t>
      </w:r>
      <w:r>
        <w:t xml:space="preserve"> </w:t>
      </w:r>
      <w:r>
        <w:t xml:space="preserve">10 hours,</w:t>
      </w:r>
      <w:r>
        <w:t xml:space="preserve"> </w:t>
      </w:r>
      <w:r>
        <w:rPr>
          <w:rStyle w:val="VerbatimChar"/>
        </w:rPr>
        <w:t xml:space="preserve">Max-Renew-Age</w:t>
      </w:r>
      <w:r>
        <w:t xml:space="preserve"> </w:t>
      </w:r>
      <w:r>
        <w:t xml:space="preserve">7 days, service ticket</w:t>
      </w:r>
      <w:r>
        <w:t xml:space="preserve"> </w:t>
      </w:r>
      <w:r>
        <w:t xml:space="preserve">600 minutes.</w:t>
      </w:r>
    </w:p>
    <w:p>
      <w:pPr>
        <w:pStyle w:val="Compact"/>
        <w:numPr>
          <w:ilvl w:val="0"/>
          <w:numId w:val="1011"/>
        </w:numPr>
      </w:pPr>
      <w:r>
        <w:t xml:space="preserve">Microsoft Continuous Access Evaluation: 1-hour default access token</w:t>
      </w:r>
      <w:r>
        <w:t xml:space="preserve"> </w:t>
      </w:r>
      <w:r>
        <w:t xml:space="preserve">lifetime, up to 28 hours in CAE sessions, up to 15 minutes event</w:t>
      </w:r>
      <w:r>
        <w:t xml:space="preserve"> </w:t>
      </w:r>
      <w:r>
        <w:t xml:space="preserve">propagation latency, immediate IP-location enforcement.</w:t>
      </w:r>
    </w:p>
    <w:p>
      <w:pPr>
        <w:pStyle w:val="Compact"/>
        <w:numPr>
          <w:ilvl w:val="0"/>
          <w:numId w:val="1011"/>
        </w:numPr>
      </w:pPr>
      <w:r>
        <w:t xml:space="preserve">Microsoft Entra hybrid join: documented requirement for network line</w:t>
      </w:r>
      <w:r>
        <w:t xml:space="preserve"> </w:t>
      </w:r>
      <w:r>
        <w:t xml:space="preserve">of sight to on-premises domain controllers.</w:t>
      </w:r>
    </w:p>
    <w:p>
      <w:pPr>
        <w:pStyle w:val="Compact"/>
        <w:numPr>
          <w:ilvl w:val="0"/>
          <w:numId w:val="1011"/>
        </w:numPr>
      </w:pPr>
      <w:r>
        <w:t xml:space="preserve">FedRAMP Consolidated Rules for 2026: optional early adoption 4 July</w:t>
      </w:r>
      <w:r>
        <w:t xml:space="preserve"> </w:t>
      </w:r>
      <w:r>
        <w:t xml:space="preserve">2026, mandatory adoption 1 January 2027; Certification Classes A–D;</w:t>
      </w:r>
      <w:r>
        <w:t xml:space="preserve"> </w:t>
      </w:r>
      <w:r>
        <w:t xml:space="preserve">System Security Plan replaced by Certification Package Overview and</w:t>
      </w:r>
      <w:r>
        <w:t xml:space="preserve"> </w:t>
      </w:r>
      <w:r>
        <w:t xml:space="preserve">Security Decision Record; agency POA&amp;Ms explicitly retained. FedRAMP</w:t>
      </w:r>
      <w:r>
        <w:t xml:space="preserve"> </w:t>
      </w:r>
      <w:r>
        <w:t xml:space="preserve">Notice 0013, 16 June 2026, removing FedRAMP-assigned control</w:t>
      </w:r>
      <w:r>
        <w:t xml:space="preserve"> </w:t>
      </w:r>
      <w:r>
        <w:t xml:space="preserve">parameters.</w:t>
      </w:r>
    </w:p>
    <w:p>
      <w:pPr>
        <w:pStyle w:val="Compact"/>
        <w:numPr>
          <w:ilvl w:val="0"/>
          <w:numId w:val="1011"/>
        </w:numPr>
      </w:pPr>
      <w:r>
        <w:t xml:space="preserve">FedRAMP impact levels cited in §3.4 for Palo Alto Networks, Zscaler,</w:t>
      </w:r>
      <w:r>
        <w:t xml:space="preserve"> </w:t>
      </w:r>
      <w:r>
        <w:t xml:space="preserve">Netskope and Cisco Meraki for Government.</w:t>
      </w:r>
    </w:p>
    <w:p>
      <w:pPr>
        <w:pStyle w:val="Compact"/>
        <w:numPr>
          <w:ilvl w:val="0"/>
          <w:numId w:val="1011"/>
        </w:numPr>
      </w:pPr>
      <w:r>
        <w:t xml:space="preserve">GSA: EIS ceiling and option periods; Networx expiry 31 May 2026;</w:t>
      </w:r>
      <w:r>
        <w:t xml:space="preserve"> </w:t>
      </w:r>
      <w:r>
        <w:t xml:space="preserve">WITS 3 expiry 28 February 2026; 214 agencies transitioned as of 31</w:t>
      </w:r>
      <w:r>
        <w:t xml:space="preserve"> </w:t>
      </w:r>
      <w:r>
        <w:t xml:space="preserve">July 2026.</w:t>
      </w:r>
    </w:p>
    <w:p>
      <w:pPr>
        <w:pStyle w:val="Compact"/>
        <w:numPr>
          <w:ilvl w:val="0"/>
          <w:numId w:val="1011"/>
        </w:numPr>
      </w:pPr>
      <w:r>
        <w:t xml:space="preserve">RFC 4120,</w:t>
      </w:r>
      <w:r>
        <w:t xml:space="preserve"> </w:t>
      </w:r>
      <w:r>
        <w:rPr>
          <w:i/>
          <w:iCs/>
        </w:rPr>
        <w:t xml:space="preserve">The Kerberos Network Authentication Service (V5)</w:t>
      </w:r>
      <w:r>
        <w:t xml:space="preserve">, July</w:t>
      </w:r>
    </w:p>
    <w:p>
      <w:pPr>
        <w:pStyle w:val="FirstParagraph"/>
      </w:pPr>
      <w:r>
        <w:rPr>
          <w:b/>
          <w:bCs/>
        </w:rPr>
        <w:t xml:space="preserve">Confirmed as not existing</w:t>
      </w:r>
    </w:p>
    <w:p>
      <w:pPr>
        <w:pStyle w:val="Compact"/>
        <w:numPr>
          <w:ilvl w:val="0"/>
          <w:numId w:val="1013"/>
        </w:numPr>
      </w:pPr>
      <w:r>
        <w:rPr>
          <w:i/>
          <w:iCs/>
        </w:rPr>
        <w:t xml:space="preserve">Secure Access Service Edge (SASE) Roadmap for Federal Civilian</w:t>
      </w:r>
      <w:r>
        <w:rPr>
          <w:i/>
          <w:iCs/>
        </w:rPr>
        <w:t xml:space="preserve"> </w:t>
      </w:r>
      <w:r>
        <w:rPr>
          <w:i/>
          <w:iCs/>
        </w:rPr>
        <w:t xml:space="preserve">Agencies</w:t>
      </w:r>
      <w:r>
        <w:t xml:space="preserve"> </w:t>
      </w:r>
      <w:r>
        <w:t xml:space="preserve">(CISA, 2023), cited as reference [7] in version 1.0. No</w:t>
      </w:r>
      <w:r>
        <w:t xml:space="preserve"> </w:t>
      </w:r>
      <w:r>
        <w:t xml:space="preserve">document of that title appears in CISA’s own enumeration of TIC and</w:t>
      </w:r>
      <w:r>
        <w:t xml:space="preserve"> </w:t>
      </w:r>
      <w:r>
        <w:t xml:space="preserve">zero trust guidance.</w:t>
      </w:r>
    </w:p>
    <w:p>
      <w:pPr>
        <w:pStyle w:val="Compact"/>
        <w:numPr>
          <w:ilvl w:val="0"/>
          <w:numId w:val="1013"/>
        </w:numPr>
      </w:pPr>
      <w:r>
        <w:t xml:space="preserve">A TIC 3.0</w:t>
      </w:r>
      <w:r>
        <w:t xml:space="preserve"> </w:t>
      </w:r>
      <w:r>
        <w:t xml:space="preserve">“SASE Use Case.”</w:t>
      </w:r>
      <w:r>
        <w:t xml:space="preserve"> </w:t>
      </w:r>
      <w:r>
        <w:t xml:space="preserve">CISA has published four use cases:</w:t>
      </w:r>
      <w:r>
        <w:t xml:space="preserve"> </w:t>
      </w:r>
      <w:r>
        <w:t xml:space="preserve">Traditional, Branch Office, Remote User and Cloud.</w:t>
      </w:r>
    </w:p>
    <w:p>
      <w:pPr>
        <w:pStyle w:val="FirstParagraph"/>
      </w:pPr>
      <w:r>
        <w:rPr>
          <w:b/>
          <w:bCs/>
        </w:rPr>
        <w:t xml:space="preserve">Could not be verified for this revision — do not rely on these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opening the source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TIC 3.0 document version numbers and dates.</w:t>
      </w:r>
      <w:r>
        <w:t xml:space="preserve"> </w:t>
      </w:r>
      <w:r>
        <w:t xml:space="preserve">cisa.gov refused</w:t>
      </w:r>
      <w:r>
        <w:t xml:space="preserve"> </w:t>
      </w:r>
      <w:r>
        <w:t xml:space="preserve">automated retrieval. Version 1.0’s</w:t>
      </w:r>
      <w:r>
        <w:t xml:space="preserve"> </w:t>
      </w:r>
      <w:r>
        <w:t xml:space="preserve">“Program Guidebook, July 2025,</w:t>
      </w:r>
      <w:r>
        <w:t xml:space="preserve"> </w:t>
      </w:r>
      <w:r>
        <w:t xml:space="preserve">Version 1.2”</w:t>
      </w:r>
      <w:r>
        <w:t xml:space="preserve"> </w:t>
      </w:r>
      <w:r>
        <w:t xml:space="preserve">and</w:t>
      </w:r>
      <w:r>
        <w:t xml:space="preserve"> </w:t>
      </w:r>
      <w:r>
        <w:t xml:space="preserve">“Branch Office Use Case, Version 3.0”</w:t>
      </w:r>
      <w:r>
        <w:t xml:space="preserve"> </w:t>
      </w:r>
      <w:r>
        <w:t xml:space="preserve">are both</w:t>
      </w:r>
      <w:r>
        <w:t xml:space="preserve"> </w:t>
      </w:r>
      <w:r>
        <w:t xml:space="preserve">unconfirmed and at least the first appears misattributed. Read</w:t>
      </w:r>
      <w:r>
        <w:t xml:space="preserve"> </w:t>
      </w:r>
      <w:r>
        <w:t xml:space="preserve">versions off the cover pages.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CISA,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Journey to Zero Trust — Using Secure Access Service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Edge in a Modern TIC 3.0 Solution</w:t>
      </w:r>
      <w:r>
        <w:rPr>
          <w:b/>
          <w:bCs/>
        </w:rPr>
        <w:t xml:space="preserve">, reported 24 June 2026.</w:t>
      </w:r>
      <w:r>
        <w:t xml:space="preserve"> </w:t>
      </w:r>
      <w:r>
        <w:t xml:space="preserve">Existence reported; text not retrieved. Nothing here rests on it,</w:t>
      </w:r>
      <w:r>
        <w:t xml:space="preserve"> </w:t>
      </w:r>
      <w:r>
        <w:t xml:space="preserve">and it should be read before this paper is acted 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CLAW expansion and current role.</w:t>
      </w:r>
      <w:r>
        <w:t xml:space="preserve"> </w:t>
      </w:r>
      <w:r>
        <w:t xml:space="preserve">“Cloud Log Aggregation</w:t>
      </w:r>
      <w:r>
        <w:t xml:space="preserve"> </w:t>
      </w:r>
      <w:r>
        <w:t xml:space="preserve">Warehouse”</w:t>
      </w:r>
      <w:r>
        <w:t xml:space="preserve"> </w:t>
      </w:r>
      <w:r>
        <w:t xml:space="preserve">is the expansion used here; confirm against the current</w:t>
      </w:r>
      <w:r>
        <w:t xml:space="preserve"> </w:t>
      </w:r>
      <w:r>
        <w:t xml:space="preserve">NCPS Cloud Interface Reference Architecture.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Historical TIC access-point reduction figures</w:t>
      </w:r>
      <w:r>
        <w:t xml:space="preserve"> </w:t>
      </w:r>
      <w:r>
        <w:t xml:space="preserve">(the</w:t>
      </w:r>
      <w:r>
        <w:t xml:space="preserve"> </w:t>
      </w:r>
      <w:r>
        <w:t xml:space="preserve">“4,000 to</w:t>
      </w:r>
      <w:r>
        <w:t xml:space="preserve"> </w:t>
      </w:r>
      <w:r>
        <w:t xml:space="preserve">under 100”</w:t>
      </w:r>
      <w:r>
        <w:t xml:space="preserve"> </w:t>
      </w:r>
      <w:r>
        <w:t xml:space="preserve">range in circulation). No primary source confirmed;</w:t>
      </w:r>
      <w:r>
        <w:t xml:space="preserve"> </w:t>
      </w:r>
      <w:r>
        <w:t xml:space="preserve">omitted from §2.1 rather than repeated.</w:t>
      </w:r>
    </w:p>
    <w:p>
      <w:pPr>
        <w:pStyle w:val="FirstParagraph"/>
      </w:pPr>
      <w:r>
        <w:t xml:space="preserve">Two further cautions on claims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made here because they could not be</w:t>
      </w:r>
      <w:r>
        <w:t xml:space="preserve"> </w:t>
      </w:r>
      <w:r>
        <w:t xml:space="preserve">supported: this paper does not state that EINSTEIN has been sunset or</w:t>
      </w:r>
      <w:r>
        <w:t xml:space="preserve"> </w:t>
      </w:r>
      <w:r>
        <w:t xml:space="preserve">replaced (no primary source confirms a sunset date), and it gives no</w:t>
      </w:r>
      <w:r>
        <w:t xml:space="preserve"> </w:t>
      </w:r>
      <w:r>
        <w:t xml:space="preserve">Starlink or LEO latency figure (no vendor-published figure could be</w:t>
      </w:r>
      <w:r>
        <w:t xml:space="preserve"> </w:t>
      </w:r>
      <w:r>
        <w:t xml:space="preserve">retrieved; SpaceX’s 2026 S-1 defines</w:t>
      </w:r>
      <w:r>
        <w:t xml:space="preserve"> </w:t>
      </w:r>
      <w:r>
        <w:t xml:space="preserve">“low-latency”</w:t>
      </w:r>
      <w:r>
        <w:t xml:space="preserve"> </w:t>
      </w:r>
      <w:r>
        <w:t xml:space="preserve">as under 70 ms and</w:t>
      </w:r>
      <w:r>
        <w:t xml:space="preserve"> </w:t>
      </w:r>
      <w:r>
        <w:t xml:space="preserve">publishes no measured value).</w:t>
      </w:r>
    </w:p>
    <w:bookmarkEnd w:id="41"/>
    <w:bookmarkStart w:id="42" w:name="appendix-a-change-log-from-version-1.0"/>
    <w:p>
      <w:pPr>
        <w:pStyle w:val="Heading1"/>
      </w:pPr>
      <w:r>
        <w:t xml:space="preserve">Appendix A — Change log from version 1.0</w:t>
      </w:r>
    </w:p>
    <w:p>
      <w:pPr>
        <w:pStyle w:val="FirstParagraph"/>
      </w:pPr>
      <w:r>
        <w:t xml:space="preserve">Recorded so that anyone holding version 1.0 can see exactly what changed</w:t>
      </w:r>
      <w:r>
        <w:t xml:space="preserve"> </w:t>
      </w:r>
      <w:r>
        <w:t xml:space="preserve">and judge the revision.</w:t>
      </w:r>
    </w:p>
    <w:tbl>
      <w:tblPr>
        <w:tblStyle w:val="Table"/>
        <w:tblW w:type="pct" w:w="4932"/>
        <w:tblLayout w:type="fixed"/>
        <w:tblLook w:firstRow="1" w:lastRow="0" w:firstColumn="0" w:lastColumn="0" w:noHBand="0" w:noVBand="0" w:val="0020"/>
      </w:tblPr>
      <w:tblGrid>
        <w:gridCol w:w="1605"/>
        <w:gridCol w:w="2568"/>
        <w:gridCol w:w="3638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Location in Wha</w:t>
            </w:r>
            <w:r>
              <w:t xml:space="preserve"> </w:t>
            </w: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t it said Why it changed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Header</w:t>
            </w:r>
            <w:r>
              <w:t xml:space="preserve"> </w:t>
            </w:r>
            <w:r>
              <w:t xml:space="preserve">“UNCLASS</w:t>
            </w:r>
            <w:r>
              <w:t xml:space="preserve"> </w:t>
            </w:r>
            <w:r>
              <w:t xml:space="preserve">— TLP: CLEAR”</w:t>
            </w:r>
            <w:r>
              <w:t xml:space="preserve"> </w:t>
            </w:r>
            <w:r>
              <w:t xml:space="preserve">“Prepared For:</w:t>
            </w:r>
            <w:r>
              <w:t xml:space="preserve"> </w:t>
            </w:r>
            <w:r>
              <w:t xml:space="preserve">Review — Fede</w:t>
            </w:r>
            <w:r>
              <w:t xml:space="preserve"> </w:t>
            </w:r>
            <w:r>
              <w:t xml:space="preserve">CIOs, CISOs…”</w:t>
            </w:r>
            <w:r>
              <w:t xml:space="preserve"> </w:t>
            </w:r>
            <w:r>
              <w:t xml:space="preserve">analysis. Repla</w:t>
            </w:r>
            <w:r>
              <w:t xml:space="preserve"> </w:t>
            </w:r>
            <w:r>
              <w:t xml:space="preserve">byline and an e</w:t>
            </w:r>
            <w:r>
              <w:t xml:space="preserve"> </w:t>
            </w:r>
            <w:r>
              <w:t xml:space="preserve">note.</w:t>
            </w:r>
          </w:p>
        </w:tc>
        <w:tc>
          <w:tcPr/>
          <w:p>
            <w:pPr>
              <w:pStyle w:val="Compact"/>
            </w:pPr>
            <w:r>
              <w:t xml:space="preserve">IFIED // FOUO FOUO and T</w:t>
            </w:r>
            <w:r>
              <w:t xml:space="preserve"> </w:t>
            </w:r>
            <w:r>
              <w:t xml:space="preserve">; each other; FOUO is a</w:t>
            </w:r>
            <w:r>
              <w:t xml:space="preserve"> </w:t>
            </w:r>
            <w:r>
              <w:t xml:space="preserve">Agency marking supersede</w:t>
            </w:r>
            <w:r>
              <w:t xml:space="preserve"> </w:t>
            </w:r>
            <w:r>
              <w:t xml:space="preserve">ral the header implied a</w:t>
            </w:r>
            <w:r>
              <w:t xml:space="preserve"> </w:t>
            </w:r>
            <w:r>
              <w:t xml:space="preserve">sponsorship for solo-au</w:t>
            </w:r>
            <w:r>
              <w:t xml:space="preserve"> </w:t>
            </w:r>
            <w:r>
              <w:t xml:space="preserve">ced with an author</w:t>
            </w:r>
            <w:r>
              <w:t xml:space="preserve"> </w:t>
            </w:r>
            <w:r>
              <w:t xml:space="preserve">xplicit status</w:t>
            </w:r>
          </w:p>
        </w:tc>
        <w:tc>
          <w:tcPr/>
          <w:p>
            <w:pPr>
              <w:pStyle w:val="Compact"/>
            </w:pPr>
            <w:r>
              <w:t xml:space="preserve">LP:CLEAR contradict</w:t>
            </w:r>
            <w:r>
              <w:t xml:space="preserve"> </w:t>
            </w:r>
            <w:r>
              <w:t xml:space="preserve">legacy</w:t>
            </w:r>
            <w:r>
              <w:t xml:space="preserve"> </w:t>
            </w:r>
            <w:r>
              <w:t xml:space="preserve">d by CUI; and</w:t>
            </w:r>
            <w:r>
              <w:t xml:space="preserve"> </w:t>
            </w:r>
            <w:r>
              <w:t xml:space="preserve">gency</w:t>
            </w:r>
            <w:r>
              <w:t xml:space="preserve"> </w:t>
            </w:r>
            <w:r>
              <w:t xml:space="preserve">thored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Throughout,</w:t>
            </w:r>
            <w:r>
              <w:t xml:space="preserve"> </w:t>
            </w:r>
            <w:r>
              <w:t xml:space="preserve">“DI</w:t>
            </w:r>
            <w:r>
              <w:t xml:space="preserve"> </w:t>
            </w:r>
            <w:r>
              <w:t xml:space="preserve">§3, Glossary In</w:t>
            </w:r>
            <w:r>
              <w:t xml:space="preserve"> </w:t>
            </w:r>
            <w:r>
              <w:t xml:space="preserve">Agency circuit)</w:t>
            </w:r>
            <w:r>
              <w:t xml:space="preserve"> </w:t>
            </w:r>
            <w:r>
              <w:t xml:space="preserve">government-cont</w:t>
            </w:r>
            <w:r>
              <w:t xml:space="preserve"> </w:t>
            </w:r>
            <w:r>
              <w:t xml:space="preserve">MPLS or dedicat</w:t>
            </w:r>
            <w:r>
              <w:t xml:space="preserve"> </w:t>
            </w:r>
            <w:r>
              <w:t xml:space="preserve">fiber”</w:t>
            </w:r>
            <w:r>
              <w:t xml:space="preserve"> </w:t>
            </w:r>
            <w:r>
              <w:t xml:space="preserve">rewritte</w:t>
            </w:r>
            <w:r>
              <w:t xml:space="preserve"> </w:t>
            </w:r>
            <w:r>
              <w:t xml:space="preserve">breakout.</w:t>
            </w:r>
          </w:p>
        </w:tc>
        <w:tc>
          <w:tcPr/>
          <w:p>
            <w:pPr>
              <w:pStyle w:val="Compact"/>
            </w:pPr>
            <w:r>
              <w:t xml:space="preserve">A circuit (Defense DIA i</w:t>
            </w:r>
            <w:r>
              <w:t xml:space="preserve"> </w:t>
            </w:r>
            <w:r>
              <w:t xml:space="preserve">formation Systems DISA i</w:t>
            </w:r>
            <w:r>
              <w:t xml:space="preserve"> </w:t>
            </w:r>
            <w:r>
              <w:t xml:space="preserve">… Systems Agency; DIA</w:t>
            </w:r>
            <w:r>
              <w:t xml:space="preserve"> </w:t>
            </w:r>
            <w:r>
              <w:t xml:space="preserve">racted Defense Intellige</w:t>
            </w:r>
            <w:r>
              <w:t xml:space="preserve"> </w:t>
            </w:r>
            <w:r>
              <w:t xml:space="preserve">ed DISA’s network is DIS</w:t>
            </w:r>
            <w:r>
              <w:t xml:space="preserve"> </w:t>
            </w:r>
            <w:r>
              <w:t xml:space="preserve">n around local internet</w:t>
            </w:r>
          </w:p>
        </w:tc>
        <w:tc>
          <w:tcPr/>
          <w:p>
            <w:pPr>
              <w:pStyle w:val="Compact"/>
            </w:pPr>
            <w:r>
              <w:t xml:space="preserve">s Direct Internet Access.</w:t>
            </w:r>
            <w:r>
              <w:t xml:space="preserve"> </w:t>
            </w:r>
            <w:r>
              <w:t xml:space="preserve">s the Defense Information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t xml:space="preserve">nce Agency;</w:t>
            </w:r>
            <w:r>
              <w:t xml:space="preserve"> </w:t>
            </w:r>
            <w:r>
              <w:t xml:space="preserve">N. §3 was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Exec summary, ”</w:t>
            </w:r>
            <w:r>
              <w:t xml:space="preserve"> </w:t>
            </w:r>
            <w:r>
              <w:t xml:space="preserve">§2.3, §3.3, exp</w:t>
            </w:r>
            <w:r>
              <w:t xml:space="preserve"> </w:t>
            </w:r>
            <w:r>
              <w:t xml:space="preserve">Rec. 1, Rec. st</w:t>
            </w:r>
            <w:r>
              <w:t xml:space="preserve"> </w:t>
            </w:r>
            <w:r>
              <w:t xml:space="preserve">2, ref. [7] S</w:t>
            </w:r>
            <w:r>
              <w:t xml:space="preserve"> </w:t>
            </w:r>
            <w:r>
              <w:t xml:space="preserve">evidence argume</w:t>
            </w:r>
          </w:p>
        </w:tc>
        <w:tc>
          <w:tcPr/>
          <w:p>
            <w:pPr>
              <w:pStyle w:val="Compact"/>
            </w:pPr>
            <w:r>
              <w:t xml:space="preserve">CISA’s SASE Roadmap is T</w:t>
            </w:r>
            <w:r>
              <w:t xml:space="preserve"> </w:t>
            </w:r>
            <w:r>
              <w:t xml:space="preserve">licit: SD-WAN is a exist</w:t>
            </w:r>
            <w:r>
              <w:t xml:space="preserve"> </w:t>
            </w:r>
            <w:r>
              <w:t xml:space="preserve">ructural component of su</w:t>
            </w:r>
            <w:r>
              <w:t xml:space="preserve"> </w:t>
            </w:r>
            <w:r>
              <w:t xml:space="preserve">ASE” rested on it. Repla</w:t>
            </w:r>
            <w:r>
              <w:t xml:space="preserve"> </w:t>
            </w:r>
            <w:r>
              <w:t xml:space="preserve">nt in §2.4.</w:t>
            </w:r>
          </w:p>
        </w:tc>
        <w:tc>
          <w:tcPr/>
          <w:p>
            <w:pPr>
              <w:pStyle w:val="Compact"/>
            </w:pPr>
            <w:r>
              <w:t xml:space="preserve">he cited document does not</w:t>
            </w:r>
            <w:r>
              <w:t xml:space="preserve"> </w:t>
            </w:r>
            <w:r>
              <w:t xml:space="preserve">. Two of five findings, one</w:t>
            </w:r>
            <w:r>
              <w:t xml:space="preserve"> </w:t>
            </w:r>
            <w:r>
              <w:t xml:space="preserve">bsection and one recommendation</w:t>
            </w:r>
            <w:r>
              <w:t xml:space="preserve"> </w:t>
            </w:r>
            <w:r>
              <w:t xml:space="preserve">ced with the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§2.3, §7.4, “TI</w:t>
            </w:r>
            <w:r>
              <w:t xml:space="preserve"> </w:t>
            </w:r>
            <w:r>
              <w:t xml:space="preserve">Rec. 1 Branch O</w:t>
            </w:r>
          </w:p>
        </w:tc>
        <w:tc>
          <w:tcPr/>
          <w:p>
            <w:pPr>
              <w:pStyle w:val="Compact"/>
            </w:pPr>
            <w:r>
              <w:t xml:space="preserve">C 3.0 SASE Use Case” No</w:t>
            </w:r>
            <w:r>
              <w:t xml:space="preserve"> </w:t>
            </w:r>
            <w:r>
              <w:t xml:space="preserve">ffice and Cloud.</w:t>
            </w:r>
          </w:p>
        </w:tc>
        <w:tc>
          <w:tcPr/>
          <w:p>
            <w:pPr>
              <w:pStyle w:val="Compact"/>
            </w:pPr>
            <w:r>
              <w:t xml:space="preserve">such use case. Replaced with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§2.1, §2.3, “Pr</w:t>
            </w:r>
            <w:r>
              <w:t xml:space="preserve"> </w:t>
            </w:r>
            <w:r>
              <w:t xml:space="preserve">refs (July 2025</w:t>
            </w:r>
            <w:r>
              <w:t xml:space="preserve"> </w:t>
            </w:r>
            <w:r>
              <w:t xml:space="preserve">[5][6] 1.2)</w:t>
            </w:r>
            <w:r>
              <w:t xml:space="preserve"> </w:t>
            </w:r>
            <w:r>
              <w:t xml:space="preserve">Use Case, Versi</w:t>
            </w:r>
            <w:r>
              <w:t xml:space="preserve"> </w:t>
            </w:r>
            <w:r>
              <w:t xml:space="preserve">with a note to</w:t>
            </w:r>
            <w:r>
              <w:t xml:space="preserve"> </w:t>
            </w:r>
            <w:r>
              <w:t xml:space="preserve">the cover page.</w:t>
            </w:r>
          </w:p>
        </w:tc>
        <w:tc>
          <w:tcPr/>
          <w:p>
            <w:pPr>
              <w:pStyle w:val="Compact"/>
            </w:pPr>
            <w:r>
              <w:t xml:space="preserve">ogram Guidebook Unverifi</w:t>
            </w:r>
            <w:r>
              <w:t xml:space="preserve"> </w:t>
            </w:r>
            <w:r>
              <w:t xml:space="preserve">, Version v1.2 designati</w:t>
            </w:r>
            <w:r>
              <w:t xml:space="preserve"> </w:t>
            </w:r>
            <w:r>
              <w:t xml:space="preserve">“;”</w:t>
            </w:r>
            <w:r>
              <w:t xml:space="preserve">Branch Office belong</w:t>
            </w:r>
            <w:r>
              <w:t xml:space="preserve"> </w:t>
            </w:r>
            <w:r>
              <w:t xml:space="preserve">on 3.0” Documents now ci</w:t>
            </w:r>
            <w:r>
              <w:t xml:space="preserve"> </w:t>
            </w:r>
            <w:r>
              <w:t xml:space="preserve">read versions from</w:t>
            </w:r>
          </w:p>
        </w:tc>
        <w:tc>
          <w:tcPr/>
          <w:p>
            <w:pPr>
              <w:pStyle w:val="Compact"/>
            </w:pPr>
            <w:r>
              <w:t xml:space="preserve">able; the July 2025 /</w:t>
            </w:r>
            <w:r>
              <w:t xml:space="preserve"> </w:t>
            </w:r>
            <w:r>
              <w:t xml:space="preserve">on appears to</w:t>
            </w:r>
            <w:r>
              <w:t xml:space="preserve"> </w:t>
            </w:r>
            <w:r>
              <w:t xml:space="preserve">to the Cloud Use Case.</w:t>
            </w:r>
            <w:r>
              <w:t xml:space="preserve"> </w:t>
            </w:r>
            <w:r>
              <w:t xml:space="preserve">ted by name only,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§2.2 “approxima</w:t>
            </w:r>
            <w:r>
              <w:t xml:space="preserve"> </w:t>
            </w:r>
            <w:r>
              <w:t xml:space="preserve">security contro</w:t>
            </w:r>
            <w:r>
              <w:t xml:space="preserve"> </w:t>
            </w:r>
            <w:r>
              <w:t xml:space="preserve">(16 June 2026)</w:t>
            </w:r>
            <w:r>
              <w:t xml:space="preserve"> </w:t>
            </w:r>
            <w:r>
              <w:t xml:space="preserve">FedRAMP-assigne</w:t>
            </w:r>
            <w:r>
              <w:t xml:space="preserve"> </w:t>
            </w:r>
            <w:r>
              <w:t xml:space="preserve">no revised coun</w:t>
            </w:r>
            <w:r>
              <w:t xml:space="preserve"> </w:t>
            </w:r>
            <w:r>
              <w:t xml:space="preserve">Count removed.</w:t>
            </w:r>
          </w:p>
        </w:tc>
        <w:tc>
          <w:tcPr/>
          <w:p>
            <w:pPr>
              <w:pStyle w:val="Compact"/>
            </w:pPr>
            <w:r>
              <w:t xml:space="preserve">tely 325 325 is the Rev</w:t>
            </w:r>
            <w:r>
              <w:t xml:space="preserve"> </w:t>
            </w:r>
            <w:r>
              <w:t xml:space="preserve">ls” Rev 5 was 323; and N</w:t>
            </w:r>
            <w:r>
              <w:t xml:space="preserve"> </w:t>
            </w:r>
            <w:r>
              <w:t xml:space="preserve">removed most</w:t>
            </w:r>
            <w:r>
              <w:t xml:space="preserve"> </w:t>
            </w:r>
            <w:r>
              <w:t xml:space="preserve">d parameters with</w:t>
            </w:r>
            <w:r>
              <w:t xml:space="preserve"> </w:t>
            </w:r>
            <w:r>
              <w:t xml:space="preserve">ts published.</w:t>
            </w:r>
          </w:p>
        </w:tc>
        <w:tc>
          <w:tcPr/>
          <w:p>
            <w:pPr>
              <w:pStyle w:val="Compact"/>
            </w:pPr>
            <w:r>
              <w:t xml:space="preserve">4 Moderate figure;</w:t>
            </w:r>
            <w:r>
              <w:t xml:space="preserve"> </w:t>
            </w:r>
            <w:r>
              <w:t xml:space="preserve">otice 0013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§4.1, §4.3, Ker</w:t>
            </w:r>
            <w:r>
              <w:t xml:space="preserve"> </w:t>
            </w:r>
            <w:r>
              <w:t xml:space="preserve">Rec. 6 recorded</w:t>
            </w:r>
            <w:r>
              <w:t xml:space="preserve"> </w:t>
            </w:r>
            <w:r>
              <w:t xml:space="preserve">validated by th</w:t>
            </w:r>
            <w:r>
              <w:t xml:space="preserve"> </w:t>
            </w:r>
            <w:r>
              <w:t xml:space="preserve">SNAT at a PoP c</w:t>
            </w:r>
            <w:r>
              <w:t xml:space="preserve"> </w:t>
            </w:r>
            <w:r>
              <w:t xml:space="preserve">ticket rejectio</w:t>
            </w:r>
            <w:r>
              <w:t xml:space="preserve"> </w:t>
            </w:r>
            <w:r>
              <w:t xml:space="preserve">audit.</w:t>
            </w:r>
          </w:p>
        </w:tc>
        <w:tc>
          <w:tcPr/>
          <w:p>
            <w:pPr>
              <w:pStyle w:val="Compact"/>
            </w:pPr>
            <w:r>
              <w:t xml:space="preserve">beros client IP Does not</w:t>
            </w:r>
            <w:r>
              <w:t xml:space="preserve"> </w:t>
            </w:r>
            <w:r>
              <w:t xml:space="preserve">in the TGT and defaults</w:t>
            </w:r>
            <w:r>
              <w:t xml:space="preserve"> </w:t>
            </w:r>
            <w:r>
              <w:t xml:space="preserve">e KDC; 0, `KdcDontCheckA</w:t>
            </w:r>
            <w:r>
              <w:t xml:space="preserve"> </w:t>
            </w:r>
            <w:r>
              <w:t xml:space="preserve">auses Replaced with the</w:t>
            </w:r>
            <w:r>
              <w:t xml:space="preserve"> </w:t>
            </w:r>
            <w:r>
              <w:t xml:space="preserve">n dependencies and a cor</w:t>
            </w:r>
          </w:p>
        </w:tc>
        <w:tc>
          <w:tcPr/>
          <w:p>
            <w:pPr>
              <w:pStyle w:val="Compact"/>
            </w:pPr>
            <w:r>
              <w:t xml:space="preserve">occur under Microsoft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KdcUseClientAddresses</w:t>
            </w:r>
            <w:r>
              <w:t xml:space="preserve"> </w:t>
            </w:r>
            <w:r>
              <w:t xml:space="preserve">ddresses` 1).</w:t>
            </w:r>
            <w:r>
              <w:t xml:space="preserve"> </w:t>
            </w:r>
            <w:r>
              <w:t xml:space="preserve">four real DC</w:t>
            </w:r>
            <w:r>
              <w:t xml:space="preserve"> </w:t>
            </w:r>
            <w:r>
              <w:t xml:space="preserve">rected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§4.1, Glossary</w:t>
            </w:r>
            <w:r>
              <w:t xml:space="preserve"> </w:t>
            </w:r>
            <w:r>
              <w:t xml:space="preserve">(TDS) causes se</w:t>
            </w:r>
            <w:r>
              <w:t xml:space="preserve"> </w:t>
            </w:r>
            <w:r>
              <w:t xml:space="preserve">discontinuity t</w:t>
            </w:r>
            <w:r>
              <w:t xml:space="preserve"> </w:t>
            </w:r>
            <w:r>
              <w:t xml:space="preserve">session termina</w:t>
            </w:r>
            <w:r>
              <w:t xml:space="preserve"> </w:t>
            </w:r>
            <w:r>
              <w:t xml:space="preserve">continuity, not</w:t>
            </w:r>
            <w:r>
              <w:t xml:space="preserve"> </w:t>
            </w:r>
            <w:r>
              <w:t xml:space="preserve">continuity.</w:t>
            </w:r>
          </w:p>
        </w:tc>
        <w:tc>
          <w:tcPr/>
          <w:p>
            <w:pPr>
              <w:pStyle w:val="Compact"/>
            </w:pPr>
            <w:r>
              <w:t xml:space="preserve">“a path re-route that TC</w:t>
            </w:r>
            <w:r>
              <w:t xml:space="preserve"> </w:t>
            </w:r>
            <w:r>
              <w:t xml:space="preserve">quence number properties</w:t>
            </w:r>
            <w:r>
              <w:t xml:space="preserve"> </w:t>
            </w:r>
            <w:r>
              <w:t xml:space="preserve">riggers Replaced with th</w:t>
            </w:r>
            <w:r>
              <w:t xml:space="preserve"> </w:t>
            </w:r>
            <w:r>
              <w:t xml:space="preserve">tion”</w:t>
            </w:r>
            <w:r>
              <w:t xml:space="preserve"> </w:t>
            </w:r>
            <w:r>
              <w:t xml:space="preserve">modes; the distinc</w:t>
            </w:r>
            <w:r>
              <w:t xml:space="preserve"> </w:t>
            </w:r>
            <w: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P sequence numbers are endpoint</w:t>
            </w:r>
            <w:r>
              <w:t xml:space="preserve"> </w:t>
            </w:r>
            <w:r>
              <w:t xml:space="preserve">, unaffected by path.</w:t>
            </w:r>
            <w:r>
              <w:t xml:space="preserve"> </w:t>
            </w:r>
            <w:r>
              <w:t xml:space="preserve">e real failure</w:t>
            </w:r>
            <w:r>
              <w:t xml:space="preserve"> </w:t>
            </w:r>
            <w:r>
              <w:t xml:space="preserve">tion is 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§4.2 30 queries</w:t>
            </w:r>
            <w:r>
              <w:t xml:space="preserve"> </w:t>
            </w:r>
            <w:r>
              <w:t xml:space="preserve">4,500 ms, reduc</w:t>
            </w:r>
            <w:r>
              <w:t xml:space="preserve"> </w:t>
            </w:r>
            <w:r>
              <w:t xml:space="preserve">750 ms with SD-</w:t>
            </w:r>
            <w:r>
              <w:t xml:space="preserve"> </w:t>
            </w:r>
            <w:r>
              <w:t xml:space="preserve">“6×”</w:t>
            </w:r>
            <w:r>
              <w:t xml:space="preserve"> </w:t>
            </w:r>
            <w:r>
              <w:t xml:space="preserve">geography.</w:t>
            </w:r>
            <w:r>
              <w:t xml:space="preserve"> </w:t>
            </w:r>
            <w:r>
              <w:t xml:space="preserve">decomposition i</w:t>
            </w:r>
            <w:r>
              <w:t xml:space="preserve"> </w:t>
            </w:r>
            <w:r>
              <w:t xml:space="preserve">and the observa</w:t>
            </w:r>
            <w:r>
              <w:t xml:space="preserve"> </w:t>
            </w:r>
            <w:r>
              <w:t xml:space="preserve">application cha</w:t>
            </w:r>
          </w:p>
        </w:tc>
        <w:tc>
          <w:tcPr/>
          <w:p>
            <w:pPr>
              <w:pStyle w:val="Compact"/>
            </w:pPr>
            <w:r>
              <w:t xml:space="preserve">× 150 ms = A branch-edg</w:t>
            </w:r>
            <w:r>
              <w:t xml:space="preserve"> </w:t>
            </w:r>
            <w:r>
              <w:t xml:space="preserve">ed to the first leg only</w:t>
            </w:r>
            <w:r>
              <w:t xml:space="preserve"> </w:t>
            </w:r>
            <w:r>
              <w:t xml:space="preserve">WAN — PoP-to-cloud leg</w:t>
            </w:r>
            <w:r>
              <w:t xml:space="preserve"> </w:t>
            </w:r>
            <w:r>
              <w:t xml:space="preserve">Replaced with the</w:t>
            </w:r>
            <w:r>
              <w:t xml:space="preserve"> </w:t>
            </w:r>
            <w:r>
              <w:t xml:space="preserve">n §4.3 (≈20–25%)</w:t>
            </w:r>
            <w:r>
              <w:t xml:space="preserve"> </w:t>
            </w:r>
            <w:r>
              <w:t xml:space="preserve">tion that</w:t>
            </w:r>
            <w:r>
              <w:t xml:space="preserve"> </w:t>
            </w:r>
            <w:r>
              <w:t xml:space="preserve">ttiness dominates.</w:t>
            </w:r>
          </w:p>
        </w:tc>
        <w:tc>
          <w:tcPr/>
          <w:p>
            <w:pPr>
              <w:pStyle w:val="Compact"/>
            </w:pPr>
            <w:r>
              <w:t xml:space="preserve">e device operates on</w:t>
            </w:r>
            <w:r>
              <w:t xml:space="preserve"> </w:t>
            </w:r>
            <w:r>
              <w:t xml:space="preserve">; the</w:t>
            </w:r>
            <w:r>
              <w:t xml:space="preserve"> </w:t>
            </w:r>
            <w:r>
              <w:t xml:space="preserve">is set 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§5.1, §5.3</w:t>
            </w:r>
            <w:r>
              <w:t xml:space="preserve"> </w:t>
            </w:r>
            <w:r>
              <w:t xml:space="preserve">“the</w:t>
            </w:r>
            <w:r>
              <w:t xml:space="preserve"> </w:t>
            </w:r>
            <w:r>
              <w:t xml:space="preserve">refresh cycles</w:t>
            </w:r>
            <w:r>
              <w:t xml:space="preserve"> </w:t>
            </w:r>
            <w:r>
              <w:t xml:space="preserve">by M-22-09”</w:t>
            </w:r>
            <w:r>
              <w:t xml:space="preserve"> </w:t>
            </w:r>
            <w:r>
              <w:t xml:space="preserve">800</w:t>
            </w:r>
            <w:r>
              <w:t xml:space="preserve"> </w:t>
            </w:r>
            <w:r>
              <w:t xml:space="preserve">intervals and M</w:t>
            </w:r>
            <w:r>
              <w:t xml:space="preserve"> </w:t>
            </w:r>
            <w:r>
              <w:t xml:space="preserve">behaviour.</w:t>
            </w:r>
          </w:p>
        </w:tc>
        <w:tc>
          <w:tcPr/>
          <w:p>
            <w:pPr>
              <w:pStyle w:val="Compact"/>
            </w:pPr>
            <w:r>
              <w:t xml:space="preserve">15-minute token M-22-09</w:t>
            </w:r>
            <w:r>
              <w:t xml:space="preserve"> </w:t>
            </w:r>
            <w:r>
              <w:t xml:space="preserve">mandated lifetime. Repla</w:t>
            </w:r>
            <w:r>
              <w:t xml:space="preserve"> </w:t>
            </w:r>
            <w:r>
              <w:t xml:space="preserve">-63B-4 reauthentication</w:t>
            </w:r>
            <w:r>
              <w:t xml:space="preserve"> </w:t>
            </w:r>
            <w:r>
              <w:t xml:space="preserve">icrosoft CAE token</w:t>
            </w:r>
          </w:p>
        </w:tc>
        <w:tc>
          <w:tcPr/>
          <w:p>
            <w:pPr>
              <w:pStyle w:val="Compact"/>
            </w:pPr>
            <w:r>
              <w:t xml:space="preserve">mandates no token</w:t>
            </w:r>
            <w:r>
              <w:t xml:space="preserve"> </w:t>
            </w:r>
            <w:r>
              <w:t xml:space="preserve">ced with SP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§5.3</w:t>
            </w:r>
            <w:r>
              <w:t xml:space="preserve"> </w:t>
            </w:r>
            <w:r>
              <w:t xml:space="preserve">“Sub-10ms</w:t>
            </w:r>
            <w:r>
              <w:t xml:space="preserve"> </w:t>
            </w:r>
            <w:r>
              <w:t xml:space="preserve">selection decis</w:t>
            </w:r>
            <w:r>
              <w:t xml:space="preserve"> </w:t>
            </w:r>
            <w:r>
              <w:t xml:space="preserve">token relay”</w:t>
            </w:r>
            <w:r>
              <w:t xml:space="preserve">250–400ms”</w:t>
            </w:r>
          </w:p>
        </w:tc>
        <w:tc>
          <w:tcPr/>
          <w:p>
            <w:pPr>
              <w:pStyle w:val="Compact"/>
            </w:pPr>
            <w:r>
              <w:t xml:space="preserve">path Unsourced. Removed.</w:t>
            </w:r>
            <w:r>
              <w:t xml:space="preserve"> </w:t>
            </w:r>
            <w:r>
              <w:t xml:space="preserve">ions”;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§5.4, §6.1, 12-</w:t>
            </w:r>
            <w:r>
              <w:t xml:space="preserve"> </w:t>
            </w:r>
            <w:r>
              <w:t xml:space="preserve">Rec. 4 $200,00</w:t>
            </w:r>
            <w:r>
              <w:t xml:space="preserve"> </w:t>
            </w:r>
            <w:r>
              <w:t xml:space="preserve">annual; help de</w:t>
            </w:r>
            <w:r>
              <w:t xml:space="preserve"> </w:t>
            </w:r>
            <w:r>
              <w:t xml:space="preserve">over-provisioni</w:t>
            </w:r>
            <w:r>
              <w:t xml:space="preserve"> </w:t>
            </w:r>
            <w:r>
              <w:t xml:space="preserve">incident and MT</w:t>
            </w:r>
            <w:r>
              <w:t xml:space="preserve"> </w:t>
            </w:r>
            <w:r>
              <w:t xml:space="preserve">figures</w:t>
            </w:r>
          </w:p>
        </w:tc>
        <w:tc>
          <w:tcPr/>
          <w:p>
            <w:pPr>
              <w:pStyle w:val="Compact"/>
            </w:pPr>
            <w:r>
              <w:t xml:space="preserve">-18% CPU; No derivation,</w:t>
            </w:r>
            <w:r>
              <w:t xml:space="preserve"> </w:t>
            </w:r>
            <w:r>
              <w:t xml:space="preserve">0–$400,000 instance co</w:t>
            </w:r>
            <w:r>
              <w:t xml:space="preserve"> </w:t>
            </w:r>
            <w:r>
              <w:t xml:space="preserve">sk, withdrawn and replac</w:t>
            </w:r>
            <w:r>
              <w:t xml:space="preserve"> </w:t>
            </w:r>
            <w:r>
              <w:t xml:space="preserve">ng, measurement method a</w:t>
            </w:r>
            <w:r>
              <w:t xml:space="preserve"> </w:t>
            </w:r>
            <w:r>
              <w:t xml:space="preserve">IPS example with stated</w:t>
            </w:r>
          </w:p>
        </w:tc>
        <w:tc>
          <w:tcPr/>
          <w:p>
            <w:pPr>
              <w:pStyle w:val="Compact"/>
            </w:pPr>
            <w:r>
              <w:t xml:space="preserve">measurement,</w:t>
            </w:r>
            <w:r>
              <w:t xml:space="preserve"> </w:t>
            </w:r>
            <w:r>
              <w:t xml:space="preserve">unt or rate. All</w:t>
            </w:r>
            <w:r>
              <w:t xml:space="preserve"> </w:t>
            </w:r>
            <w:r>
              <w:t xml:space="preserve">ed with §6’s</w:t>
            </w:r>
            <w:r>
              <w:t xml:space="preserve"> </w:t>
            </w:r>
            <w:r>
              <w:t xml:space="preserve">nd a worked</w:t>
            </w:r>
            <w:r>
              <w:t xml:space="preserve"> </w:t>
            </w:r>
            <w:r>
              <w:t xml:space="preserve">inputs.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§7.2, §7.4, Pha</w:t>
            </w:r>
            <w:r>
              <w:t xml:space="preserve"> </w:t>
            </w:r>
            <w:r>
              <w:t xml:space="preserve">Rec. 3 policy-r</w:t>
            </w:r>
            <w:r>
              <w:t xml:space="preserve"> </w:t>
            </w:r>
            <w:r>
              <w:t xml:space="preserve">precondition fo</w:t>
            </w:r>
            <w:r>
              <w:t xml:space="preserve"> </w:t>
            </w: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se 2 as a No federal pol</w:t>
            </w:r>
            <w:r>
              <w:t xml:space="preserve"> </w:t>
            </w:r>
            <w:r>
              <w:t xml:space="preserve">equired sequence. Refram</w:t>
            </w:r>
            <w:r>
              <w:t xml:space="preserve"> </w:t>
            </w:r>
            <w:r>
              <w:t xml:space="preserve">r Phase dependency, whic</w:t>
            </w:r>
          </w:p>
        </w:tc>
        <w:tc>
          <w:tcPr/>
          <w:p>
            <w:pPr>
              <w:pStyle w:val="Compact"/>
            </w:pPr>
            <w:r>
              <w:t xml:space="preserve">icy specifies the</w:t>
            </w:r>
            <w:r>
              <w:t xml:space="preserve"> </w:t>
            </w:r>
            <w:r>
              <w:t xml:space="preserve">ed as a technical</w:t>
            </w:r>
            <w:r>
              <w:t xml:space="preserve"> </w:t>
            </w:r>
            <w:r>
              <w:t xml:space="preserve">h is sufficient.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Ref. [3] OMB</w:t>
            </w:r>
            <w:r>
              <w:t xml:space="preserve"> </w:t>
            </w:r>
            <w:r>
              <w:t xml:space="preserve">Replaced.</w:t>
            </w:r>
          </w:p>
        </w:tc>
        <w:tc>
          <w:tcPr/>
          <w:p>
            <w:pPr>
              <w:pStyle w:val="Compact"/>
            </w:pPr>
            <w:r>
              <w:t xml:space="preserve">M-21-31 Rescinded 22 May</w:t>
            </w:r>
          </w:p>
        </w:tc>
        <w:tc>
          <w:tcPr/>
          <w:p>
            <w:pPr>
              <w:pStyle w:val="Compact"/>
            </w:pPr>
            <w:r>
              <w:t xml:space="preserve">2026 by M-26-14.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Glossary “Compr</w:t>
            </w:r>
            <w:r>
              <w:t xml:space="preserve"> </w:t>
            </w:r>
            <w:r>
              <w:t xml:space="preserve">(CLAW) Aggregat</w:t>
            </w:r>
            <w:r>
              <w:t xml:space="preserve"> </w:t>
            </w:r>
            <w:r>
              <w:t xml:space="preserve">for confirmatio</w:t>
            </w:r>
          </w:p>
        </w:tc>
        <w:tc>
          <w:tcPr/>
          <w:p>
            <w:pPr>
              <w:pStyle w:val="Compact"/>
            </w:pPr>
            <w:r>
              <w:t xml:space="preserve">ehensive Log Not the ter</w:t>
            </w:r>
            <w:r>
              <w:t xml:space="preserve"> </w:t>
            </w:r>
            <w:r>
              <w:t xml:space="preserve">ion Warehouse” Aggregati</w:t>
            </w:r>
            <w:r>
              <w:t xml:space="preserve"> </w:t>
            </w:r>
            <w:r>
              <w:t xml:space="preserve">n.</w:t>
            </w:r>
          </w:p>
        </w:tc>
        <w:tc>
          <w:tcPr/>
          <w:p>
            <w:pPr>
              <w:pStyle w:val="Compact"/>
            </w:pPr>
            <w:r>
              <w:t xml:space="preserve">m;</w:t>
            </w:r>
            <w:r>
              <w:t xml:space="preserve"> </w:t>
            </w:r>
            <w:r>
              <w:t xml:space="preserve">“Cloud Log</w:t>
            </w:r>
            <w:r>
              <w:t xml:space="preserve"> </w:t>
            </w:r>
            <w:r>
              <w:t xml:space="preserve">on Warehouse,”</w:t>
            </w:r>
            <w:r>
              <w:t xml:space="preserve"> </w:t>
            </w:r>
            <w:r>
              <w:t xml:space="preserve">flagged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Throughout No t</w:t>
            </w:r>
            <w:r>
              <w:t xml:space="preserve"> </w:t>
            </w:r>
            <w:r>
              <w:t xml:space="preserve">1800-35 operati</w:t>
            </w:r>
            <w:r>
              <w:t xml:space="preserve"> </w:t>
            </w:r>
            <w:r>
              <w:t xml:space="preserve">implementation</w:t>
            </w:r>
            <w:r>
              <w:t xml:space="preserve"> </w:t>
            </w:r>
            <w:r>
              <w:t xml:space="preserve">arguing about z</w:t>
            </w:r>
            <w:r>
              <w:t xml:space="preserve"> </w:t>
            </w:r>
            <w:r>
              <w:t xml:space="preserve">implementation</w:t>
            </w:r>
            <w:r>
              <w:t xml:space="preserve"> </w:t>
            </w:r>
            <w:r>
              <w:t xml:space="preserve">invites the obv</w:t>
            </w:r>
          </w:p>
        </w:tc>
        <w:tc>
          <w:tcPr/>
          <w:p>
            <w:pPr>
              <w:pStyle w:val="Compact"/>
            </w:pPr>
            <w:r>
              <w:t xml:space="preserve">reatment of NIST SP Fina</w:t>
            </w:r>
            <w:r>
              <w:t xml:space="preserve"> </w:t>
            </w:r>
            <w:r>
              <w:t xml:space="preserve">ve federal zero trust</w:t>
            </w:r>
            <w:r>
              <w:t xml:space="preserve"> </w:t>
            </w:r>
            <w:r>
              <w:t xml:space="preserve">guidance. A paper</w:t>
            </w:r>
            <w:r>
              <w:t xml:space="preserve"> </w:t>
            </w:r>
            <w:r>
              <w:t xml:space="preserve">ero trust</w:t>
            </w:r>
            <w:r>
              <w:t xml:space="preserve"> </w:t>
            </w:r>
            <w:r>
              <w:t xml:space="preserve">that omits it</w:t>
            </w:r>
            <w:r>
              <w:t xml:space="preserve"> </w:t>
            </w:r>
            <w:r>
              <w:t xml:space="preserve">ious question.</w:t>
            </w:r>
          </w:p>
        </w:tc>
        <w:tc>
          <w:tcPr/>
          <w:p>
            <w:pPr>
              <w:pStyle w:val="Compact"/>
            </w:pPr>
            <w:r>
              <w:t xml:space="preserve">l 10 June 2025 and now the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§3.2 SD-WAN “do</w:t>
            </w:r>
            <w:r>
              <w:t xml:space="preserve"> </w:t>
            </w:r>
            <w:r>
              <w:t xml:space="preserve">introduce new r</w:t>
            </w:r>
            <w:r>
              <w:t xml:space="preserve"> </w:t>
            </w:r>
            <w:r>
              <w:t xml:space="preserve">this is improve</w:t>
            </w:r>
            <w:r>
              <w:t xml:space="preserve"> </w:t>
            </w:r>
            <w:r>
              <w:t xml:space="preserve">security postur</w:t>
            </w:r>
            <w:r>
              <w:t xml:space="preserve"> </w:t>
            </w:r>
            <w:r>
              <w:t xml:space="preserve">the honest answ</w:t>
            </w:r>
            <w:r>
              <w:t xml:space="preserve"> </w:t>
            </w:r>
            <w:r>
              <w:t xml:space="preserve">vulnerability m</w:t>
            </w:r>
            <w:r>
              <w:t xml:space="preserve"> </w:t>
            </w:r>
            <w:r>
              <w:t xml:space="preserve">now under BOD 2</w:t>
            </w:r>
          </w:p>
        </w:tc>
        <w:tc>
          <w:tcPr/>
          <w:p>
            <w:pPr>
              <w:pStyle w:val="Compact"/>
            </w:pPr>
            <w:r>
              <w:t xml:space="preserve">es not Overstated. A bra</w:t>
            </w:r>
            <w:r>
              <w:t xml:space="preserve"> </w:t>
            </w:r>
            <w:r>
              <w:t xml:space="preserve">isk… a real attack sur</w:t>
            </w:r>
            <w:r>
              <w:t xml:space="preserve"> </w:t>
            </w:r>
            <w:r>
              <w:t xml:space="preserve">d 26-03 (26 February 202</w:t>
            </w:r>
            <w:r>
              <w:t xml:space="preserve"> </w:t>
            </w:r>
            <w:r>
              <w:t xml:space="preserve">e” concerned exactly tha</w:t>
            </w:r>
            <w:r>
              <w:t xml:space="preserve"> </w:t>
            </w:r>
            <w:r>
              <w:t xml:space="preserve">er is a</w:t>
            </w:r>
            <w:r>
              <w:t xml:space="preserve"> </w:t>
            </w:r>
            <w:r>
              <w:t xml:space="preserve">anagement answer,</w:t>
            </w:r>
            <w:r>
              <w:t xml:space="preserve"> </w:t>
            </w:r>
            <w:r>
              <w:t xml:space="preserve">6-04.</w:t>
            </w:r>
          </w:p>
        </w:tc>
        <w:tc>
          <w:tcPr/>
          <w:p>
            <w:pPr>
              <w:pStyle w:val="Compact"/>
            </w:pPr>
            <w:r>
              <w:t xml:space="preserve">nch appliance is</w:t>
            </w:r>
            <w:r>
              <w:t xml:space="preserve"> </w:t>
            </w:r>
            <w:r>
              <w:t xml:space="preserve">face — ED</w:t>
            </w:r>
            <w:r>
              <w:t xml:space="preserve"> </w:t>
            </w:r>
            <w:r>
              <w:t xml:space="preserve">6)</w:t>
            </w:r>
            <w:r>
              <w:t xml:space="preserve"> </w:t>
            </w:r>
            <w:r>
              <w:t xml:space="preserve">t — 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Exec summary, S</w:t>
            </w:r>
            <w:r>
              <w:t xml:space="preserve"> </w:t>
            </w:r>
            <w:r>
              <w:t xml:space="preserve">§2 as a complia</w:t>
            </w:r>
            <w:r>
              <w:t xml:space="preserve"> </w:t>
            </w:r>
            <w:r>
              <w:t xml:space="preserve">agencies mandat</w:t>
            </w:r>
            <w:r>
              <w:t xml:space="preserve"> </w:t>
            </w:r>
            <w:r>
              <w:t xml:space="preserve">“misrepresentin</w:t>
            </w:r>
            <w:r>
              <w:t xml:space="preserve"> </w:t>
            </w:r>
            <w:r>
              <w:t xml:space="preserve">compliance post</w:t>
            </w:r>
            <w:r>
              <w:t xml:space="preserve"> </w:t>
            </w:r>
            <w:r>
              <w:t xml:space="preserve">Congress and IG</w:t>
            </w:r>
          </w:p>
        </w:tc>
        <w:tc>
          <w:tcPr/>
          <w:p>
            <w:pPr>
              <w:pStyle w:val="Compact"/>
            </w:pPr>
            <w:r>
              <w:t xml:space="preserve">D-WAN absence framed Not</w:t>
            </w:r>
            <w:r>
              <w:t xml:space="preserve"> </w:t>
            </w:r>
            <w:r>
              <w:t xml:space="preserve">nce gap; damaging claim</w:t>
            </w:r>
            <w:r>
              <w:t xml:space="preserve"> </w:t>
            </w:r>
            <w:r>
              <w:t xml:space="preserve">es no technology. Refram</w:t>
            </w:r>
            <w:r>
              <w:t xml:space="preserve"> </w:t>
            </w:r>
            <w:r>
              <w:t xml:space="preserve">g their as an evidence g</w:t>
            </w:r>
            <w:r>
              <w:t xml:space="preserve"> </w:t>
            </w:r>
            <w:r>
              <w:t xml:space="preserve">ure” to</w:t>
            </w:r>
            <w:r>
              <w:t xml:space="preserve"> </w:t>
            </w: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supportable, and the most</w:t>
            </w:r>
            <w:r>
              <w:t xml:space="preserve"> </w:t>
            </w:r>
            <w:r>
              <w:t xml:space="preserve">in v1.0. TIC 3.0</w:t>
            </w:r>
            <w:r>
              <w:t xml:space="preserve"> </w:t>
            </w:r>
            <w:r>
              <w:t xml:space="preserve">ed</w:t>
            </w:r>
            <w:r>
              <w:t xml:space="preserve"> </w:t>
            </w:r>
            <w:r>
              <w:t xml:space="preserve">ap in §2.4.</w:t>
            </w:r>
          </w:p>
        </w:tc>
      </w:tr>
    </w:tbl>
    <w:p>
      <w:pPr>
        <w:pStyle w:val="BodyText"/>
      </w:pPr>
      <w:r>
        <w:rPr>
          <w:b/>
          <w:bCs/>
        </w:rPr>
        <w:t xml:space="preserve">One thing version 1.0 got right and this revision keeps in full:</w:t>
      </w:r>
      <w:r>
        <w:t xml:space="preserve"> </w:t>
      </w:r>
      <w:r>
        <w:t xml:space="preserve">§2.2’s argument that FedRAMP does not constrain network routing, and</w:t>
      </w:r>
      <w:r>
        <w:t xml:space="preserve"> </w:t>
      </w:r>
      <w:r>
        <w:t xml:space="preserve">that an agency refusing SD-WAN on FedRAMP grounds should be asked to</w:t>
      </w:r>
      <w:r>
        <w:t xml:space="preserve"> </w:t>
      </w:r>
      <w:r>
        <w:t xml:space="preserve">name the control. That section was correct, is well-made, and is the</w:t>
      </w:r>
      <w:r>
        <w:t xml:space="preserve"> </w:t>
      </w:r>
      <w:r>
        <w:t xml:space="preserve">most immediately useful page in the paper.</w:t>
      </w:r>
    </w:p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005">
    <w:nsid w:val="A99412005"/>
    <w:multiLevelType w:val="multilevel"/>
    <w:lvl w:ilvl="0">
      <w:start w:val="2005"/>
      <w:numFmt w:val="decimal"/>
      <w:lvlText w:val="%1."/>
      <w:lvlJc w:val="left"/>
      <w:pPr>
        <w:ind w:left="720" w:hanging="360"/>
      </w:pPr>
    </w:lvl>
    <w:lvl w:ilvl="1">
      <w:start w:val="2005"/>
      <w:numFmt w:val="decimal"/>
      <w:lvlText w:val="%2."/>
      <w:lvlJc w:val="left"/>
      <w:pPr>
        <w:ind w:left="1440" w:hanging="360"/>
      </w:pPr>
    </w:lvl>
    <w:lvl w:ilvl="2">
      <w:start w:val="2005"/>
      <w:numFmt w:val="decimal"/>
      <w:lvlText w:val="%3."/>
      <w:lvlJc w:val="left"/>
      <w:pPr>
        <w:ind w:left="2160" w:hanging="360"/>
      </w:pPr>
    </w:lvl>
    <w:lvl w:ilvl="3">
      <w:start w:val="2005"/>
      <w:numFmt w:val="decimal"/>
      <w:lvlText w:val="%4."/>
      <w:lvlJc w:val="left"/>
      <w:pPr>
        <w:ind w:left="2880" w:hanging="360"/>
      </w:pPr>
    </w:lvl>
    <w:lvl w:ilvl="4">
      <w:start w:val="2005"/>
      <w:numFmt w:val="decimal"/>
      <w:lvlText w:val="%5."/>
      <w:lvlJc w:val="left"/>
      <w:pPr>
        <w:ind w:left="3600" w:hanging="360"/>
      </w:pPr>
    </w:lvl>
    <w:lvl w:ilvl="5">
      <w:start w:val="2005"/>
      <w:numFmt w:val="decimal"/>
      <w:lvlText w:val="%6."/>
      <w:lvlJc w:val="left"/>
      <w:pPr>
        <w:ind w:left="4320" w:hanging="360"/>
      </w:pPr>
    </w:lvl>
    <w:lvl w:ilvl="6">
      <w:start w:val="2005"/>
      <w:numFmt w:val="decimal"/>
      <w:lvlText w:val="%7."/>
      <w:lvlJc w:val="left"/>
      <w:pPr>
        <w:ind w:left="5040" w:hanging="360"/>
      </w:pPr>
    </w:lvl>
    <w:lvl w:ilvl="7">
      <w:start w:val="2005"/>
      <w:numFmt w:val="decimal"/>
      <w:lvlText w:val="%8."/>
      <w:lvlJc w:val="left"/>
      <w:pPr>
        <w:ind w:left="5760" w:hanging="360"/>
      </w:pPr>
    </w:lvl>
    <w:lvl w:ilvl="8">
      <w:start w:val="200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2005"/>
    <w:lvlOverride w:ilvl="0">
      <w:startOverride w:val="2005"/>
    </w:lvlOverride>
    <w:lvlOverride w:ilvl="1">
      <w:startOverride w:val="2005"/>
    </w:lvlOverride>
    <w:lvlOverride w:ilvl="2">
      <w:startOverride w:val="2005"/>
    </w:lvlOverride>
    <w:lvlOverride w:ilvl="3">
      <w:startOverride w:val="2005"/>
    </w:lvlOverride>
    <w:lvlOverride w:ilvl="4">
      <w:startOverride w:val="2005"/>
    </w:lvlOverride>
    <w:lvlOverride w:ilvl="5">
      <w:startOverride w:val="2005"/>
    </w:lvlOverride>
    <w:lvlOverride w:ilvl="6">
      <w:startOverride w:val="2005"/>
    </w:lvlOverride>
    <w:lvlOverride w:ilvl="7">
      <w:startOverride w:val="2005"/>
    </w:lvlOverride>
    <w:lvlOverride w:ilvl="8">
      <w:startOverride w:val="2005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2026-10-19T10:11:44Z</dcterms:created>
  <dcterms:modified xsi:type="dcterms:W3CDTF">2026-10-19T10:11:44Z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