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svg" ContentType="image/svg+xml"/>
  <Override PartName="/word/media/rId25.svg" ContentType="image/svg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Federal AI Governance — Submission Readiness Brief</w:t>
      </w:r>
    </w:p>
    <w:p>
      <w:pPr>
        <w:pStyle w:val="Subtitle"/>
      </w:pPr>
      <w:r>
        <w:t xml:space="preserve">M-25-21 §4(b) coverage, deployed-vs-proposed honesty ledger, and the moves that raise win probability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2026-06-01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Every M-25-21 deadline has passed — the seven §4(b) practices,</w:t>
            </w:r>
            <w:r>
              <w:t xml:space="preserve"> </w:t>
            </w:r>
            <w:r>
              <w:t xml:space="preserve">the annual use-case inventory, the compliance plans, the Chief AI Officer —</w:t>
            </w:r>
            <w:r>
              <w:t xml:space="preserve"> </w:t>
            </w:r>
            <w:r>
              <w:t xml:space="preserve">and an earlier revision of this brief built FMP’s differentiator on an</w:t>
            </w:r>
            <w:r>
              <w:t xml:space="preserve"> </w:t>
            </w:r>
            <w:r>
              <w:t xml:space="preserve">AI-specific ATO the memo never created. Today’s demonstrable surface is</w:t>
            </w:r>
            <w:r>
              <w:t xml:space="preserve"> </w:t>
            </w:r>
            <w:r>
              <w:t xml:space="preserve">Microsoft/Entra plus read-only assessment plus drift, and FMP carries no</w:t>
            </w:r>
            <w:r>
              <w:t xml:space="preserve"> </w:t>
            </w:r>
            <w:r>
              <w:t xml:space="preserve">platform-level FedRAMP authorization of its own.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Reframe M-25-21 obligations as IAM obligations, with agentic AI</w:t>
            </w:r>
            <w:r>
              <w:t xml:space="preserve"> </w:t>
            </w:r>
            <w:r>
              <w:t xml:space="preserve">governed as an L4 actuator; lead with what is deployed</w:t>
            </w:r>
            <w:r>
              <w:t xml:space="preserve"> </w:t>
            </w:r>
            <w:r>
              <w:t xml:space="preserve">(provenance-anchored, schema-enforced, drift-detected canon behind blocking CI</w:t>
            </w:r>
            <w:r>
              <w:t xml:space="preserve"> </w:t>
            </w:r>
            <w:r>
              <w:t xml:space="preserve">gates) and label everything else proposed, reserved, or pre-activation in a</w:t>
            </w:r>
            <w:r>
              <w:t xml:space="preserve"> </w:t>
            </w:r>
            <w:r>
              <w:t xml:space="preserve">coverage ledger the evaluator can check.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The three moves in this brief, none of which needs new doctrine: demo</w:t>
            </w:r>
            <w:r>
              <w:t xml:space="preserve"> </w:t>
            </w:r>
            <w:r>
              <w:t xml:space="preserve">the deployed core and stage the rest honestly; state the ATO-inheritance</w:t>
            </w:r>
            <w:r>
              <w:t xml:space="preserve"> </w:t>
            </w:r>
            <w:r>
              <w:t xml:space="preserve">posture up front (FMP runs inside the customer’s boundary; SailPoint NERM</w:t>
            </w:r>
            <w:r>
              <w:t xml:space="preserve"> </w:t>
            </w:r>
            <w:r>
              <w:t xml:space="preserve">carries its own FedRAMP Moderate ATO); and activate one non-Microsoft target —</w:t>
            </w:r>
            <w:r>
              <w:t xml:space="preserve"> </w:t>
            </w:r>
            <w:r>
              <w:t xml:space="preserve">Keycloak — end to end before submission.</w:t>
            </w:r>
          </w:p>
          <w:p/>
        </w:tc>
      </w:tr>
    </w:tbl>
    <w:bookmarkStart w:id="1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A candid read on how FMP competes if submitted against a federal AI-governance</w:t>
      </w:r>
      <w:r>
        <w:t xml:space="preserve"> </w:t>
      </w:r>
      <w:r>
        <w:t xml:space="preserve">solicitation, grounded in what is actually in the repository today — not the</w:t>
      </w:r>
      <w:r>
        <w:t xml:space="preserve"> </w:t>
      </w:r>
      <w:r>
        <w:t xml:space="preserve">roadmap. It pairs the M-25-21 requirement coverage with an honesty ledger of</w:t>
      </w:r>
      <w:r>
        <w:t xml:space="preserve"> </w:t>
      </w:r>
      <w:r>
        <w:t xml:space="preserve">deployed vs. proposed, names the gaps a federal evaluator will find, and lists</w:t>
      </w:r>
      <w:r>
        <w:t xml:space="preserve"> </w:t>
      </w:r>
      <w:r>
        <w:t xml:space="preserve">the three moves that most raise win probability.</w:t>
      </w:r>
    </w:p>
    <w:bookmarkEnd w:id="12"/>
    <w:bookmarkStart w:id="21" w:name="what-m-25-21-actually-requires"/>
    <w:p>
      <w:pPr>
        <w:pStyle w:val="Heading2"/>
      </w:pPr>
      <w:r>
        <w:t xml:space="preserve">What M-25-21 actually requires</w:t>
      </w:r>
    </w:p>
    <w:p>
      <w:pPr>
        <w:pStyle w:val="FirstParagraph"/>
      </w:pPr>
      <w:r>
        <w:t xml:space="preserve">Per the program decision and Book 21</w:t>
      </w:r>
      <w:r>
        <w:t xml:space="preserve"> </w:t>
      </w:r>
      <w:r>
        <w:t xml:space="preserve">Chapter 2: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Seven minimum risk-management practices for high-impact AI</w:t>
      </w:r>
      <w:r>
        <w:t xml:space="preserve">, set by</w:t>
      </w:r>
      <w:r>
        <w:t xml:space="preserve"> </w:t>
      </w:r>
      <w:r>
        <w:rPr>
          <w:b/>
          <w:bCs/>
        </w:rPr>
        <w:t xml:space="preserve">§4(b)</w:t>
      </w:r>
      <w:r>
        <w:t xml:space="preserve">: pre-deployment testing; an AI impact assessment; ongoing</w:t>
      </w:r>
      <w:r>
        <w:t xml:space="preserve"> </w:t>
      </w:r>
      <w:r>
        <w:t xml:space="preserve">monitoring; human training; human oversight and intervention; remedies and</w:t>
      </w:r>
      <w:r>
        <w:t xml:space="preserve"> </w:t>
      </w:r>
      <w:r>
        <w:t xml:space="preserve">appeals; and public feedback. Independent review is a component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</w:t>
      </w:r>
      <w:r>
        <w:t xml:space="preserve"> </w:t>
      </w:r>
      <w:r>
        <w:t xml:space="preserve">impact assessment, not an eighth practice. These were due</w:t>
      </w:r>
      <w:r>
        <w:t xml:space="preserve"> </w:t>
      </w:r>
      <w:r>
        <w:rPr>
          <w:b/>
          <w:bCs/>
        </w:rPr>
        <w:t xml:space="preserve">3 April 2026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AI use-case inventory to OMB, at least annually</w:t>
      </w:r>
      <w:r>
        <w:t xml:space="preserve"> </w:t>
      </w:r>
      <w:r>
        <w:t xml:space="preserve">— the machine-readable</w:t>
      </w:r>
      <w:r>
        <w:t xml:space="preserve"> </w:t>
      </w:r>
      <w:r>
        <w:t xml:space="preserve">artifact this paper’s mechanism reads.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Compliance plans at 180 days and every two years thereafter, until 2036</w:t>
      </w:r>
      <w:r>
        <w:t xml:space="preserve"> </w:t>
      </w:r>
      <w:r>
        <w:t xml:space="preserve">—</w:t>
      </w:r>
      <w:r>
        <w:t xml:space="preserve"> </w:t>
      </w:r>
      <w:r>
        <w:t xml:space="preserve">a second cadence, distinct from the inventory, and the one most often missed.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Chief AI Officer</w:t>
      </w:r>
      <w:r>
        <w:t xml:space="preserve">, due within 60 days of the memo. Every M-25-21</w:t>
      </w:r>
      <w:r>
        <w:t xml:space="preserve"> </w:t>
      </w:r>
      <w:r>
        <w:t xml:space="preserve">deadline has now passed.</w:t>
      </w:r>
    </w:p>
    <w:p>
      <w:pPr>
        <w:pStyle w:val="FirstParagraph"/>
      </w:pPr>
      <w:r>
        <w:rPr>
          <w:b/>
          <w:bCs/>
        </w:rPr>
        <w:t xml:space="preserve">What M-25-21 does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impose is an AI-specific Authorization to Operate.</w:t>
      </w:r>
      <w:r>
        <w:t xml:space="preserve"> </w:t>
      </w:r>
      <w:r>
        <w:t xml:space="preserve">It directs agencies to continue applying their existing authorization</w:t>
      </w:r>
      <w:r>
        <w:t xml:space="preserve"> </w:t>
      </w:r>
      <w:r>
        <w:t xml:space="preserve">requirements to AI systems. The inventory’s</w:t>
      </w:r>
      <w:r>
        <w:t xml:space="preserve"> </w:t>
      </w:r>
      <w:r>
        <w:rPr>
          <w:rStyle w:val="VerbatimChar"/>
        </w:rPr>
        <w:t xml:space="preserve">have_ato</w:t>
      </w:r>
      <w:r>
        <w:t xml:space="preserve"> </w:t>
      </w:r>
      <w:r>
        <w:t xml:space="preserve">field</w:t>
      </w:r>
      <w:r>
        <w:t xml:space="preserve"> </w:t>
      </w:r>
      <w:r>
        <w:rPr>
          <w:i/>
          <w:iCs/>
        </w:rPr>
        <w:t xml:space="preserve">reports</w:t>
      </w:r>
      <w:r>
        <w:t xml:space="preserve"> </w:t>
      </w:r>
      <w:r>
        <w:t xml:space="preserve">that</w:t>
      </w:r>
      <w:r>
        <w:t xml:space="preserve"> </w:t>
      </w:r>
      <w:r>
        <w:t xml:space="preserve">existing posture; it is not a gate the memo created. An earlier revision of this</w:t>
      </w:r>
      <w:r>
        <w:t xml:space="preserve"> </w:t>
      </w:r>
      <w:r>
        <w:t xml:space="preserve">brief read it as one and built the product differentiator on top of it — which</w:t>
      </w:r>
      <w:r>
        <w:t xml:space="preserve"> </w:t>
      </w:r>
      <w:r>
        <w:t xml:space="preserve">is the single most damaging thing a submission can do in front of an evaluator</w:t>
      </w:r>
      <w:r>
        <w:t xml:space="preserve"> </w:t>
      </w:r>
      <w:r>
        <w:t xml:space="preserve">who knows the memo, because it reads as inventing the test you pass.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Companion memoranda this brief previously omitted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M-25-21 rescinded M-24-10.</w:t>
            </w:r>
            <w:r>
              <w:t xml:space="preserve"> </w:t>
            </w:r>
            <w:r>
              <w:rPr>
                <w:b/>
                <w:bCs/>
              </w:rPr>
              <w:t xml:space="preserve">M-25-22</w:t>
            </w:r>
            <w:r>
              <w:t xml:space="preserve"> </w:t>
            </w:r>
            <w:r>
              <w:t xml:space="preserve">governs how an agency</w:t>
            </w:r>
            <w:r>
              <w:t xml:space="preserve"> </w:t>
            </w:r>
            <w:r>
              <w:rPr>
                <w:i/>
                <w:iCs/>
              </w:rPr>
              <w:t xml:space="preserve">acquires</w:t>
            </w:r>
            <w:r>
              <w:t xml:space="preserve"> </w:t>
            </w:r>
            <w:r>
              <w:t xml:space="preserve">AI and</w:t>
            </w:r>
            <w:r>
              <w:t xml:space="preserve"> </w:t>
            </w:r>
            <w:r>
              <w:t xml:space="preserve">is the memo a contracting officer actually works from — directly relevant to a</w:t>
            </w:r>
            <w:r>
              <w:t xml:space="preserve"> </w:t>
            </w:r>
            <w:r>
              <w:t xml:space="preserve">solicitation response.</w:t>
            </w:r>
            <w:r>
              <w:t xml:space="preserve"> </w:t>
            </w:r>
            <w:r>
              <w:rPr>
                <w:b/>
                <w:bCs/>
              </w:rPr>
              <w:t xml:space="preserve">M-26-04</w:t>
            </w:r>
            <w:r>
              <w:t xml:space="preserve"> </w:t>
            </w:r>
            <w:r>
              <w:t xml:space="preserve">(11 December 2025) adds unbiased-AI</w:t>
            </w:r>
            <w:r>
              <w:t xml:space="preserve"> </w:t>
            </w:r>
            <w:r>
              <w:t xml:space="preserve">principles and self-sunsets on 11 December 2027.</w:t>
            </w:r>
          </w:p>
          <w:p/>
        </w:tc>
      </w:tr>
    </w:tbl>
    <w:bookmarkStart w:id="20" w:name="X2675bfb6578373d33e4c5a8b83e271e9153d7c9"/>
    <w:p>
      <w:pPr>
        <w:pStyle w:val="Heading3"/>
      </w:pPr>
      <w:r>
        <w:t xml:space="preserve">The differentiator, re-based on something true</w:t>
      </w:r>
    </w:p>
    <w:p>
      <w:pPr>
        <w:pStyle w:val="FirstParagraph"/>
      </w:pPr>
      <w:r>
        <w:t xml:space="preserve">The wedge survives the correction and gets sharper. Read as</w:t>
      </w:r>
      <w:r>
        <w:t xml:space="preserve"> </w:t>
      </w:r>
      <w:r>
        <w:rPr>
          <w:b/>
          <w:bCs/>
        </w:rPr>
        <w:t xml:space="preserve">IAM obligations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contact_email</w:t>
      </w:r>
      <w:r>
        <w:t xml:space="preserve"> </w:t>
      </w:r>
      <w:r>
        <w:t xml:space="preserve">is an owner anchor and</w:t>
      </w:r>
      <w:r>
        <w:t xml:space="preserve"> </w:t>
      </w:r>
      <w:r>
        <w:rPr>
          <w:rStyle w:val="VerbatimChar"/>
        </w:rPr>
        <w:t xml:space="preserve">agency_bureau</w:t>
      </w:r>
      <w:r>
        <w:t xml:space="preserve"> </w:t>
      </w:r>
      <w:r>
        <w:t xml:space="preserve">is an organizational node — both</w:t>
      </w:r>
      <w:r>
        <w:t xml:space="preserve"> </w:t>
      </w:r>
      <w:r>
        <w:t xml:space="preserve">still hold.</w:t>
      </w:r>
      <w:r>
        <w:t xml:space="preserve"> </w:t>
      </w:r>
      <w:r>
        <w:rPr>
          <w:rStyle w:val="VerbatimChar"/>
        </w:rPr>
        <w:t xml:space="preserve">have_ato</w:t>
      </w:r>
      <w:r>
        <w:t xml:space="preserve"> </w:t>
      </w:r>
      <w:r>
        <w:t xml:space="preserve">is not a credential-issuance gate</w:t>
      </w:r>
      <w:r>
        <w:t xml:space="preserve"> </w:t>
      </w:r>
      <w:r>
        <w:rPr>
          <w:i/>
          <w:iCs/>
        </w:rPr>
        <w:t xml:space="preserve">mandated by the memo</w:t>
      </w:r>
      <w:r>
        <w:t xml:space="preserve">,</w:t>
      </w:r>
      <w:r>
        <w:t xml:space="preserve"> </w:t>
      </w:r>
      <w:r>
        <w:t xml:space="preserve">but it is an</w:t>
      </w:r>
      <w:r>
        <w:t xml:space="preserve"> </w:t>
      </w:r>
      <w:r>
        <w:rPr>
          <w:b/>
          <w:bCs/>
        </w:rPr>
        <w:t xml:space="preserve">external ATO enumeration source</w:t>
      </w:r>
      <w:r>
        <w:t xml:space="preserve">: an inventoried deployed system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have_ato = No</w:t>
      </w:r>
      <w:r>
        <w:t xml:space="preserve"> </w:t>
      </w:r>
      <w:r>
        <w:t xml:space="preserve">is a drift finding against the agency’s own authorization</w:t>
      </w:r>
      <w:r>
        <w:t xml:space="preserve"> </w:t>
      </w:r>
      <w:r>
        <w:t xml:space="preserve">policy, and one with a</w:t>
      </w:r>
      <w:r>
        <w:t xml:space="preserve"> </w:t>
      </w:r>
      <w:r>
        <w:rPr>
          <w:rStyle w:val="VerbatimChar"/>
        </w:rPr>
        <w:t xml:space="preserve">system_name_ato</w:t>
      </w:r>
      <w:r>
        <w:t xml:space="preserve"> </w:t>
      </w:r>
      <w:r>
        <w:t xml:space="preserve">absent from the known ATO registry is a</w:t>
      </w:r>
      <w:r>
        <w:t xml:space="preserve"> </w:t>
      </w:r>
      <w:r>
        <w:t xml:space="preserve">reciprocity-lookup candidate (the program decision). That claim is defensible because it</w:t>
      </w:r>
      <w:r>
        <w:t xml:space="preserve"> </w:t>
      </w:r>
      <w:r>
        <w:t xml:space="preserve">describes what FMP does, not what the memo requires.</w:t>
      </w:r>
    </w:p>
    <w:p>
      <w:pPr>
        <w:pStyle w:val="BodyText"/>
      </w:pPr>
      <w:r>
        <w:t xml:space="preserve">The stronger claim is one the invented gate was obscuring.</w:t>
      </w:r>
      <w:r>
        <w:t xml:space="preserve"> </w:t>
      </w:r>
      <w:r>
        <w:rPr>
          <w:b/>
          <w:bCs/>
        </w:rPr>
        <w:t xml:space="preserve">The inventory’s six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hi_*</w:t>
      </w:r>
      <w:r>
        <w:rPr>
          <w:b/>
          <w:bCs/>
        </w:rPr>
        <w:t xml:space="preserve"> </w:t>
      </w:r>
      <w:r>
        <w:rPr>
          <w:b/>
          <w:bCs/>
        </w:rPr>
        <w:t xml:space="preserve">fields cannot evidence all seven §4(b) practices</w:t>
      </w:r>
      <w:r>
        <w:t xml:space="preserve"> </w:t>
      </w:r>
      <w:r>
        <w:t xml:space="preserve">— human training and</w:t>
      </w:r>
      <w:r>
        <w:t xml:space="preserve"> </w:t>
      </w:r>
      <w:r>
        <w:t xml:space="preserve">public feedback have no inventory field at all. Any vendor whose story is</w:t>
      </w:r>
      <w:r>
        <w:t xml:space="preserve"> </w:t>
      </w:r>
      <w:r>
        <w:t xml:space="preserve">“we read the inventory”</w:t>
      </w:r>
      <w:r>
        <w:t xml:space="preserve"> </w:t>
      </w:r>
      <w:r>
        <w:t xml:space="preserve">is structurally unable to close two of the seven. Naming</w:t>
      </w:r>
      <w:r>
        <w:t xml:space="preserve"> </w:t>
      </w:r>
      <w:r>
        <w:t xml:space="preserve">that gap, and saying which practices need evidence from outside the inventory,</w:t>
      </w:r>
      <w:r>
        <w:t xml:space="preserve"> </w:t>
      </w:r>
      <w:r>
        <w:t xml:space="preserve">is a more credible differentiator than claiming to satisfy a gate that does not</w:t>
      </w:r>
      <w:r>
        <w:t xml:space="preserve"> </w:t>
      </w:r>
      <w:r>
        <w:t xml:space="preserve">exist.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" w:name="fig-federal-ai-diagram-01"/>
          <w:p>
            <w:pPr>
              <w:pStyle w:val="Compact"/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federal-ai-governance-submission-readiness-diagram-01-m2521-coverage-ledger.sv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M-25-21 coverage ledger — deployed versus proposed</w:t>
            </w:r>
          </w:p>
          <w:bookmarkEnd w:id="19"/>
        </w:tc>
      </w:tr>
    </w:tbl>
    <w:bookmarkEnd w:id="20"/>
    <w:bookmarkEnd w:id="21"/>
    <w:bookmarkStart w:id="22" w:name="coverage-ledger-deployed-vs.-proposed"/>
    <w:p>
      <w:pPr>
        <w:pStyle w:val="Heading2"/>
      </w:pPr>
      <w:r>
        <w:t xml:space="preserve">Coverage ledger — deployed vs. proposed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 / capability</w:t>
            </w:r>
          </w:p>
        </w:tc>
        <w:tc>
          <w:tcPr/>
          <w:p>
            <w:pPr>
              <w:pStyle w:val="Compact"/>
            </w:pPr>
            <w:r>
              <w:t xml:space="preserve">FMP mechanism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Caveat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system as governed identity record</w:t>
            </w:r>
          </w:p>
        </w:tc>
        <w:tc>
          <w:tcPr/>
          <w:p>
            <w:pPr>
              <w:pStyle w:val="Compact"/>
            </w:pPr>
            <w:r>
              <w:t xml:space="preserve">AISystemRecord (FMP_196)</w:t>
            </w:r>
          </w:p>
        </w:tc>
        <w:tc>
          <w:tcPr/>
          <w:p>
            <w:pPr>
              <w:pStyle w:val="Compact"/>
            </w:pPr>
            <w:r>
              <w:t xml:space="preserve">Spec drafted (Spec4-AI-D1.1); L1 scanner implemented (</w:t>
            </w:r>
            <w:r>
              <w:rPr>
                <w:rStyle w:val="VerbatimChar"/>
              </w:rPr>
              <w:t xml:space="preserve">src/fmp/governance/ai_inventory/</w:t>
            </w:r>
            <w:r>
              <w:t xml:space="preserve">); the program decision still Proposed</w:t>
            </w:r>
          </w:p>
        </w:tc>
        <w:tc>
          <w:tcPr/>
          <w:p>
            <w:pPr>
              <w:pStyle w:val="Compact"/>
            </w:pPr>
            <w:r>
              <w:t xml:space="preserve">Scanner is built but has nothing to gate yet — the program decision activation is the remaining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ATO enumeration + reciprocity reconciliation</w:t>
            </w:r>
          </w:p>
        </w:tc>
        <w:tc>
          <w:tcPr/>
          <w:p>
            <w:pPr>
              <w:pStyle w:val="Compact"/>
            </w:pPr>
            <w:r>
              <w:t xml:space="preserve">ATO registry + reciprocity (the program decision), reading the inventory’s</w:t>
            </w:r>
            <w:r>
              <w:t xml:space="preserve"> </w:t>
            </w:r>
            <w:r>
              <w:rPr>
                <w:rStyle w:val="VerbatimChar"/>
              </w:rPr>
              <w:t xml:space="preserve">have_ato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system_name_ato</w:t>
            </w:r>
          </w:p>
        </w:tc>
        <w:tc>
          <w:tcPr/>
          <w:p>
            <w:pPr>
              <w:pStyle w:val="Compact"/>
            </w:pPr>
            <w:r>
              <w:t xml:space="preserve">Active (reciprocity) / Proposed (AI reconciliation)</w:t>
            </w:r>
          </w:p>
        </w:tc>
        <w:tc>
          <w:tcPr/>
          <w:p>
            <w:pPr>
              <w:pStyle w:val="Compact"/>
            </w:pPr>
            <w:r>
              <w:t xml:space="preserve">Reciprocity is live in production; the AI-inventory reconciliation on top of it is not yet wired. This is enumeration against</w:t>
            </w:r>
            <w:r>
              <w:t xml:space="preserve"> </w:t>
            </w:r>
            <w:r>
              <w:rPr>
                <w:b/>
                <w:bCs/>
              </w:rPr>
              <w:t xml:space="preserve">agency</w:t>
            </w:r>
            <w:r>
              <w:t xml:space="preserve"> </w:t>
            </w:r>
            <w:r>
              <w:t xml:space="preserve">authorization policy — M-25-21 mandates no AI-specific ATO 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Agentic-AI P1 finding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DRIFT-COMPLIANCE::ai-agentic-ungoverned</w:t>
            </w:r>
          </w:p>
        </w:tc>
        <w:tc>
          <w:tcPr/>
          <w:p>
            <w:pPr>
              <w:pStyle w:val="Compact"/>
            </w:pPr>
            <w:r>
              <w:t xml:space="preserve">Proposed</w:t>
            </w:r>
          </w:p>
        </w:tc>
        <w:tc>
          <w:tcPr/>
          <w:p>
            <w:pPr>
              <w:pStyle w:val="Compact"/>
            </w:pPr>
            <w:r>
              <w:t xml:space="preserve">Doctrine only — no detector implementation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 anchor / organizational placement</w:t>
            </w:r>
          </w:p>
        </w:tc>
        <w:tc>
          <w:tcPr/>
          <w:p>
            <w:pPr>
              <w:pStyle w:val="Compact"/>
            </w:pPr>
            <w:r>
              <w:t xml:space="preserve">Entra organizational attributes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(Microsoft estate)</w:t>
            </w:r>
          </w:p>
        </w:tc>
        <w:tc>
          <w:tcPr/>
          <w:p>
            <w:pPr>
              <w:pStyle w:val="Compact"/>
            </w:pPr>
            <w:r>
              <w:t xml:space="preserve">Proven inside the Microsoft/Entra estate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detection</w:t>
            </w:r>
          </w:p>
        </w:tc>
        <w:tc>
          <w:tcPr/>
          <w:p>
            <w:pPr>
              <w:pStyle w:val="Compact"/>
            </w:pPr>
            <w:r>
              <w:t xml:space="preserve">Six-phase drift engine (the program decision)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Non-employee / vendor (partner) branch</w:t>
            </w:r>
          </w:p>
        </w:tc>
        <w:tc>
          <w:tcPr/>
          <w:p>
            <w:pPr>
              <w:pStyle w:val="Compact"/>
            </w:pPr>
            <w:r>
              <w:t xml:space="preserve">SailPoint NERM (the program decision)</w:t>
            </w:r>
          </w:p>
        </w:tc>
        <w:tc>
          <w:tcPr/>
          <w:p>
            <w:pPr>
              <w:pStyle w:val="Compact"/>
            </w:pPr>
            <w:r>
              <w:t xml:space="preserve">Reserved</w:t>
            </w:r>
          </w:p>
        </w:tc>
        <w:tc>
          <w:tcPr/>
          <w:p>
            <w:pPr>
              <w:pStyle w:val="Compact"/>
            </w:pPr>
            <w:r>
              <w:t xml:space="preserve">Pre-activation; no live tenant exercises this branch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Multi-cloud / non-MS IdP storage</w:t>
            </w:r>
          </w:p>
        </w:tc>
        <w:tc>
          <w:tcPr/>
          <w:p>
            <w:pPr>
              <w:pStyle w:val="Compact"/>
            </w:pPr>
            <w:r>
              <w:t xml:space="preserve">Binding profiles (the program decision/099/113)</w:t>
            </w:r>
          </w:p>
        </w:tc>
        <w:tc>
          <w:tcPr/>
          <w:p>
            <w:pPr>
              <w:pStyle w:val="Compact"/>
            </w:pPr>
            <w:r>
              <w:t xml:space="preserve">Proposed (IdP) / Profile-only (GCP, VMware)</w:t>
            </w:r>
          </w:p>
        </w:tc>
        <w:tc>
          <w:tcPr/>
          <w:p>
            <w:pPr>
              <w:pStyle w:val="Compact"/>
            </w:pPr>
            <w:r>
              <w:t xml:space="preserve">Design-level profiles only; no non-Microsoft IdP has been run end to end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Provenance-anchored evidence</w:t>
            </w:r>
          </w:p>
        </w:tc>
        <w:tc>
          <w:tcPr/>
          <w:p>
            <w:pPr>
              <w:pStyle w:val="Compact"/>
            </w:pPr>
            <w:r>
              <w:t xml:space="preserve">Evidence Fabric, schema-enforced canon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SaaS deployment</w:t>
            </w:r>
          </w:p>
        </w:tc>
        <w:tc>
          <w:tcPr/>
          <w:p>
            <w:pPr>
              <w:pStyle w:val="Compact"/>
            </w:pPr>
            <w:r>
              <w:t xml:space="preserve">Azure Container Apps (the program decision); AWS CDK (the program decision — ECS Fargate + ALB + RDS + S3)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(Azure)</w:t>
            </w:r>
            <w:r>
              <w:t xml:space="preserve"> </w:t>
            </w:r>
            <w:r>
              <w:t xml:space="preserve">/ IaC landed (AWS)</w:t>
            </w:r>
          </w:p>
        </w:tc>
        <w:tc>
          <w:tcPr/>
          <w:p>
            <w:pPr>
              <w:pStyle w:val="Compact"/>
            </w:pPr>
            <w:r>
              <w:t xml:space="preserve">Azure has operational tenant history; the AWS surface has none yet, and there is no GCP IaC — FMP reaches non-Azure clouds as an API client, not yet as a proven host</w:t>
            </w:r>
          </w:p>
        </w:tc>
      </w:tr>
    </w:tbl>
    <w:p>
      <w:pPr>
        <w:pStyle w:val="BodyText"/>
      </w:pPr>
      <w:r>
        <w:t xml:space="preserve">The compliance series holds the same object from the registry side: the</w:t>
      </w:r>
      <w:r>
        <w:t xml:space="preserve"> </w:t>
      </w:r>
      <w:r>
        <w:t xml:space="preserve">agency AI use-case inventory is a designated SSOT object class with a full</w:t>
      </w:r>
      <w:r>
        <w:t xml:space="preserve"> </w:t>
      </w:r>
      <w:r>
        <w:t xml:space="preserve">joiner/mover/leaver lifecycle in the</w:t>
      </w:r>
      <w:r>
        <w:t xml:space="preserve"> </w:t>
      </w:r>
      <w:r>
        <w:t xml:space="preserve">Federal Compliance series’ SSOT Registry (Vol 0 Book 00).</w:t>
      </w:r>
    </w:p>
    <w:bookmarkEnd w:id="22"/>
    <w:bookmarkStart w:id="23" w:name="where-we-are-strong"/>
    <w:p>
      <w:pPr>
        <w:pStyle w:val="Heading2"/>
      </w:pPr>
      <w:r>
        <w:t xml:space="preserve">Where we are strong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reframe is genuinely novel.</w:t>
      </w:r>
      <w:r>
        <w:t xml:space="preserve"> </w:t>
      </w:r>
      <w:r>
        <w:t xml:space="preserve">“M-25-21 obligations are IAM obligations,</w:t>
      </w:r>
      <w:r>
        <w:t xml:space="preserve"> </w:t>
      </w:r>
      <w:r>
        <w:t xml:space="preserve">and agentic AI is an L4 actuator”</w:t>
      </w:r>
      <w:r>
        <w:t xml:space="preserve"> </w:t>
      </w:r>
      <w:r>
        <w:t xml:space="preserve">is a sharper, more operational story than</w:t>
      </w:r>
      <w:r>
        <w:t xml:space="preserve"> </w:t>
      </w:r>
      <w:r>
        <w:t xml:space="preserve">the inventory dashboards most vendors ship.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Auditability is real and mechanized.</w:t>
      </w:r>
      <w:r>
        <w:t xml:space="preserve"> </w:t>
      </w:r>
      <w:r>
        <w:t xml:space="preserve">Provenance-anchored, schema-enforced,</w:t>
      </w:r>
      <w:r>
        <w:t xml:space="preserve"> </w:t>
      </w:r>
      <w:r>
        <w:t xml:space="preserve">drift-detected canon with blocking CI gates is exactly what federal evaluators</w:t>
      </w:r>
      <w:r>
        <w:t xml:space="preserve"> </w:t>
      </w:r>
      <w:r>
        <w:t xml:space="preserve">weight — and it is</w:t>
      </w:r>
      <w:r>
        <w:t xml:space="preserve"> </w:t>
      </w:r>
      <w:r>
        <w:rPr>
          <w:i/>
          <w:iCs/>
        </w:rPr>
        <w:t xml:space="preserve">deployed</w:t>
      </w:r>
      <w:r>
        <w:t xml:space="preserve">, not aspirational.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Open and lock-in-resistant.</w:t>
      </w:r>
      <w:r>
        <w:t xml:space="preserve"> </w:t>
      </w:r>
      <w:r>
        <w:t xml:space="preserve">Apache-2.0 substrate, an open-source IdP path</w:t>
      </w:r>
      <w:r>
        <w:t xml:space="preserve"> </w:t>
      </w:r>
      <w:r>
        <w:t xml:space="preserve">(Keycloak + generic LDAP), and a vendor-neutral attribute model blunt the</w:t>
      </w:r>
      <w:r>
        <w:t xml:space="preserve"> </w:t>
      </w:r>
      <w:r>
        <w:t xml:space="preserve">single-vendor-dependency objection.</w:t>
      </w:r>
    </w:p>
    <w:bookmarkEnd w:id="23"/>
    <w:bookmarkStart w:id="29" w:name="where-an-evaluator-will-find-gaps"/>
    <w:p>
      <w:pPr>
        <w:pStyle w:val="Heading2"/>
      </w:pPr>
      <w:r>
        <w:t xml:space="preserve">Where an evaluator will find gaps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demo surface today is essentially Microsoft/Entra + read-only</w:t>
      </w:r>
      <w:r>
        <w:rPr>
          <w:b/>
          <w:bCs/>
        </w:rPr>
        <w:t xml:space="preserve"> </w:t>
      </w:r>
      <w:r>
        <w:rPr>
          <w:b/>
          <w:bCs/>
        </w:rPr>
        <w:t xml:space="preserve">assessment + drift.</w:t>
      </w:r>
      <w:r>
        <w:t xml:space="preserve"> </w:t>
      </w:r>
      <w:r>
        <w:t xml:space="preserve">The coverage ledger’s Caveat column marks exactly</w:t>
      </w:r>
      <w:r>
        <w:t xml:space="preserve"> </w:t>
      </w:r>
      <w:r>
        <w:t xml:space="preserve">which rows are proposed, reserved, or pre-activation — that column is the</w:t>
      </w:r>
      <w:r>
        <w:t xml:space="preserve"> </w:t>
      </w:r>
      <w:r>
        <w:t xml:space="preserve">gap map, not a separate list.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platform-level FedRAMP authorization of FMP itself.</w:t>
      </w:r>
      <w:r>
        <w:t xml:space="preserve"> </w:t>
      </w:r>
      <w:r>
        <w:t xml:space="preserve">FMP rides inside</w:t>
      </w:r>
      <w:r>
        <w:t xml:space="preserve"> </w:t>
      </w:r>
      <w:r>
        <w:t xml:space="preserve">customer boundaries / GCC-Moderate; SailPoint NERM carries its own ATO on AWS</w:t>
      </w:r>
      <w:r>
        <w:t xml:space="preserve"> </w:t>
      </w:r>
      <w:r>
        <w:t xml:space="preserve">GovCloud as a named carve-out. A solicitation requiring the</w:t>
      </w:r>
      <w:r>
        <w:t xml:space="preserve"> </w:t>
      </w:r>
      <w:r>
        <w:rPr>
          <w:i/>
          <w:iCs/>
        </w:rPr>
        <w:t xml:space="preserve">platform</w:t>
      </w:r>
      <w:r>
        <w:t xml:space="preserve"> </w:t>
      </w:r>
      <w:r>
        <w:t xml:space="preserve">to be</w:t>
      </w:r>
      <w:r>
        <w:t xml:space="preserve"> </w:t>
      </w:r>
      <w:r>
        <w:t xml:space="preserve">FedRAMP-authorized exposes a gap.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agentic-AI P1 finding (</w:t>
      </w:r>
      <w:r>
        <w:rPr>
          <w:rStyle w:val="VerbatimChar"/>
          <w:b/>
          <w:bCs/>
        </w:rPr>
        <w:t xml:space="preserve">DRIFT-COMPLIANCE::ai-agentic-ungoverned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above) is doctrine-only.</w:t>
      </w:r>
      <w:r>
        <w:t xml:space="preserve"> </w:t>
      </w: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Federal AI Identity Governance operational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guide</w:t>
        </w:r>
      </w:hyperlink>
      <w:r>
        <w:t xml:space="preserve"> </w:t>
      </w:r>
      <w:r>
        <w:t xml:space="preserve">is the kit</w:t>
      </w:r>
      <w:r>
        <w:t xml:space="preserve"> </w:t>
      </w:r>
      <w:r>
        <w:t xml:space="preserve">that will operationalize it; it is proposed, not yet deployed.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federal-ai-diagram-02"/>
          <w:p>
            <w:pPr>
              <w:pStyle w:val="Compact"/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federal-ai-governance-submission-readiness-diagram-02-three-moves-win-probability.sv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Three moves that most raise win probability</w:t>
            </w:r>
          </w:p>
          <w:bookmarkEnd w:id="28"/>
        </w:tc>
      </w:tr>
    </w:tbl>
    <w:bookmarkEnd w:id="29"/>
    <w:bookmarkStart w:id="30" w:name="X6137604e1b586a646851a7e584ac6093e52ede1"/>
    <w:p>
      <w:pPr>
        <w:pStyle w:val="Heading2"/>
      </w:pPr>
      <w:r>
        <w:t xml:space="preserve">The three moves that most raise win probability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Lead with the deployed core, stage the rest honestly.</w:t>
      </w:r>
      <w:r>
        <w:t xml:space="preserve"> </w:t>
      </w:r>
      <w:r>
        <w:t xml:space="preserve">Demo Entra attribute</w:t>
      </w:r>
      <w:r>
        <w:t xml:space="preserve"> </w:t>
      </w:r>
      <w:r>
        <w:t xml:space="preserve">stamping + drift + the M-25-21-as-IAM reframe live; present AI scanner /</w:t>
      </w:r>
      <w:r>
        <w:t xml:space="preserve"> </w:t>
      </w:r>
      <w:r>
        <w:t xml:space="preserve">SailPoint / multi-cloud as a labeled roadmap with the composability matrix.</w:t>
      </w:r>
      <w:r>
        <w:t xml:space="preserve"> </w:t>
      </w:r>
      <w:r>
        <w:t xml:space="preserve">Credibility beats over-claiming with federal evaluators.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Resolve the authorization story explicitly.</w:t>
      </w:r>
      <w:r>
        <w:t xml:space="preserve"> </w:t>
      </w:r>
      <w:r>
        <w:t xml:space="preserve">State the ATO-inheritance</w:t>
      </w:r>
      <w:r>
        <w:t xml:space="preserve"> </w:t>
      </w:r>
      <w:r>
        <w:t xml:space="preserve">posture up front: FMP operates inside the customer’s existing boundary, and</w:t>
      </w:r>
      <w:r>
        <w:t xml:space="preserve"> </w:t>
      </w:r>
      <w:r>
        <w:t xml:space="preserve">the one commercial dependency (SailPoint NERM) is itself FedRAMP-Moderate.</w:t>
      </w:r>
      <w:r>
        <w:t xml:space="preserve"> </w:t>
      </w:r>
      <w:r>
        <w:t xml:space="preserve">Pre-empt the</w:t>
      </w:r>
      <w:r>
        <w:t xml:space="preserve"> </w:t>
      </w:r>
      <w:r>
        <w:t xml:space="preserve">“is the platform authorized”</w:t>
      </w:r>
      <w:r>
        <w:t xml:space="preserve"> </w:t>
      </w:r>
      <w:r>
        <w:t xml:space="preserve">question rather than letting it</w:t>
      </w:r>
      <w:r>
        <w:t xml:space="preserve"> </w:t>
      </w:r>
      <w:r>
        <w:t xml:space="preserve">surface in evaluation.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Activate one non-Microsoft target end-to-end.</w:t>
      </w:r>
      <w:r>
        <w:t xml:space="preserve"> </w:t>
      </w:r>
      <w:r>
        <w:t xml:space="preserve">A single live-tenant</w:t>
      </w:r>
      <w:r>
        <w:t xml:space="preserve"> </w:t>
      </w:r>
      <w:r>
        <w:t xml:space="preserve">conformance run (Keycloak is the cleanest, and proves the open-source claim)</w:t>
      </w:r>
      <w:r>
        <w:t xml:space="preserve"> </w:t>
      </w:r>
      <w:r>
        <w:t xml:space="preserve">converts</w:t>
      </w:r>
      <w:r>
        <w:t xml:space="preserve"> </w:t>
      </w:r>
      <w:r>
        <w:t xml:space="preserve">“designed for any IdP”</w:t>
      </w:r>
      <w:r>
        <w:t xml:space="preserve"> </w:t>
      </w:r>
      <w:r>
        <w:t xml:space="preserve">from assertion to demonstration.</w:t>
      </w:r>
    </w:p>
    <w:bookmarkEnd w:id="30"/>
    <w:bookmarkStart w:id="31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Strong on doctrine, differentiation, and openness; thinner on deployed-at-scale</w:t>
      </w:r>
      <w:r>
        <w:t xml:space="preserve"> </w:t>
      </w:r>
      <w:r>
        <w:t xml:space="preserve">evidence and platform-level authorization.</w:t>
      </w:r>
      <w:r>
        <w:t xml:space="preserve"> </w:t>
      </w:r>
      <w:r>
        <w:rPr>
          <w:b/>
          <w:bCs/>
        </w:rPr>
        <w:t xml:space="preserve">Competitive for a forward-leaning,</w:t>
      </w:r>
      <w:r>
        <w:rPr>
          <w:b/>
          <w:bCs/>
        </w:rPr>
        <w:t xml:space="preserve"> </w:t>
      </w:r>
      <w:r>
        <w:rPr>
          <w:b/>
          <w:bCs/>
        </w:rPr>
        <w:t xml:space="preserve">pilot-oriented solicitation; weaker against one demanding production references</w:t>
      </w:r>
      <w:r>
        <w:rPr>
          <w:b/>
          <w:bCs/>
        </w:rPr>
        <w:t xml:space="preserve"> </w:t>
      </w:r>
      <w:r>
        <w:rPr>
          <w:b/>
          <w:bCs/>
        </w:rPr>
        <w:t xml:space="preserve">and an existing platform ATO.</w:t>
      </w:r>
      <w:r>
        <w:t xml:space="preserve"> </w:t>
      </w:r>
      <w:r>
        <w:t xml:space="preserve">The fastest gains are honesty-of-framing plus</w:t>
      </w:r>
      <w:r>
        <w:t xml:space="preserve"> </w:t>
      </w:r>
      <w:r>
        <w:t xml:space="preserve">one activated non-Microsoft target — both achievable without new doctrine.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05"/>
        </w:numPr>
      </w:pPr>
      <w:r>
        <w:t xml:space="preserve">the program decision — Federal AI Use Case Governance</w:t>
      </w:r>
    </w:p>
    <w:p>
      <w:pPr>
        <w:pStyle w:val="Compact"/>
        <w:numPr>
          <w:ilvl w:val="0"/>
          <w:numId w:val="1005"/>
        </w:numPr>
      </w:pPr>
      <w:r>
        <w:t xml:space="preserve">the program decision — Single-ATO Reciprocity</w:t>
      </w:r>
    </w:p>
    <w:p>
      <w:pPr>
        <w:pStyle w:val="Compact"/>
        <w:numPr>
          <w:ilvl w:val="0"/>
          <w:numId w:val="1005"/>
        </w:numPr>
      </w:pPr>
      <w:r>
        <w:t xml:space="preserve">the compliance series Vol I Book 03 — Machine and Workload Identity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svg" /><Relationship Type="http://schemas.openxmlformats.org/officeDocument/2006/relationships/image" Id="rId25" Target="media/rId25.sv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hyperlink" Id="rId24" Target="../operational-guides/ai-identity-governance/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../operational-guides/ai-identity-governance/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AI Governance — Submission Readiness Brief</dc:title>
  <dc:creator>Michael Stratton</dc:creator>
  <cp:keywords/>
  <dcterms:created xsi:type="dcterms:W3CDTF">2026-10-19T10:11:44Z</dcterms:created>
  <dcterms:modified xsi:type="dcterms:W3CDTF">2026-10-19T10:11:44Z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src/fmp/canon/adr/adr-112-federal-ai-usecase-governance.md</vt:lpwstr>
  </property>
  <property fmtid="{D5CDD505-2E9C-101B-9397-08002B2CF9AE}" pid="7" name="created-at">
    <vt:lpwstr>2026-06-19</vt:lpwstr>
  </property>
  <property fmtid="{D5CDD505-2E9C-101B-9397-08002B2CF9AE}" pid="8" name="date">
    <vt:lpwstr>2026-06-01</vt:lpwstr>
  </property>
  <property fmtid="{D5CDD505-2E9C-101B-9397-08002B2CF9AE}" pid="9" name="doc-type">
    <vt:lpwstr>whitepaper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fecycle">
    <vt:lpwstr>adopted</vt:lpwstr>
  </property>
  <property fmtid="{D5CDD505-2E9C-101B-9397-08002B2CF9AE}" pid="15" name="lifecycle_review">
    <vt:lpwstr>2026-12-19</vt:lpwstr>
  </property>
  <property fmtid="{D5CDD505-2E9C-101B-9397-08002B2CF9AE}" pid="16" name="repo-path">
    <vt:lpwstr>docs/customer-documents/whitepapers/federal-ai-governance-submission-readiness.qmd</vt:lpwstr>
  </property>
  <property fmtid="{D5CDD505-2E9C-101B-9397-08002B2CF9AE}" pid="17" name="status">
    <vt:lpwstr>Active</vt:lpwstr>
  </property>
  <property fmtid="{D5CDD505-2E9C-101B-9397-08002B2CF9AE}" pid="18" name="subtitle">
    <vt:lpwstr>M-25-21 §4(b) coverage, deployed-vs-proposed honesty ledger, and the moves that raise win probability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2026-09-16</vt:lpwstr>
  </property>
  <property fmtid="{D5CDD505-2E9C-101B-9397-08002B2CF9AE}" pid="22" name="version">
    <vt:lpwstr>1.3</vt:lpwstr>
  </property>
</Properties>
</file>