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table-of-contents"/>
    <w:p>
      <w:pPr>
        <w:pStyle w:val="Heading1"/>
      </w:pPr>
      <w:r>
        <w:t xml:space="preserve">Table of contents</w:t>
      </w:r>
    </w:p>
    <w:bookmarkEnd w:id="9"/>
    <w:bookmarkStart w:id="41" w:name="federal-compliance-for-moderate-agencies"/>
    <w:p>
      <w:pPr>
        <w:pStyle w:val="Heading1"/>
      </w:pPr>
      <w:r>
        <w:t xml:space="preserve">Federal Compliance for Moderate Agencies</w:t>
      </w:r>
    </w:p>
    <w:bookmarkStart w:id="10" w:name="the-problem-this-paper-resolves"/>
    <w:p>
      <w:pPr>
        <w:pStyle w:val="Heading2"/>
      </w:pPr>
      <w:r>
        <w:t xml:space="preserve">The problem this paper resolves</w:t>
      </w:r>
    </w:p>
    <w:p>
      <w:pPr>
        <w:pStyle w:val="FirstParagraph"/>
      </w:pPr>
      <w:r>
        <w:t xml:space="preserve">Every mandate in this space — FedRAMP, NIST SP 800-53, CISA’s</w:t>
      </w:r>
      <w:r>
        <w:t xml:space="preserve"> </w:t>
      </w:r>
      <w:r>
        <w:t xml:space="preserve">directives, OMB’s memos, TIC 3.0 — gets discussed as if it applies to</w:t>
      </w:r>
      <w:r>
        <w:t xml:space="preserve"> </w:t>
      </w:r>
      <w:r>
        <w:t xml:space="preserve">“the government”</w:t>
      </w:r>
      <w:r>
        <w:t xml:space="preserve"> </w:t>
      </w:r>
      <w:r>
        <w:t xml:space="preserve">undifferentiated. It doesn’t. Some of these bind a</w:t>
      </w:r>
      <w:r>
        <w:t xml:space="preserve"> </w:t>
      </w:r>
      <w:r>
        <w:rPr>
          <w:b/>
          <w:bCs/>
        </w:rPr>
        <w:t xml:space="preserve">Cloud Service Provider</w:t>
      </w:r>
      <w:r>
        <w:t xml:space="preserve"> </w:t>
      </w:r>
      <w:r>
        <w:t xml:space="preserve">seeking or keeping an authorization to sell</w:t>
      </w:r>
      <w:r>
        <w:t xml:space="preserve"> </w:t>
      </w:r>
      <w:r>
        <w:t xml:space="preserve">into the federal market. Some bind a</w:t>
      </w:r>
      <w:r>
        <w:t xml:space="preserve"> </w:t>
      </w:r>
      <w:r>
        <w:rPr>
          <w:b/>
          <w:bCs/>
        </w:rPr>
        <w:t xml:space="preserve">federal agency</w:t>
      </w:r>
      <w:r>
        <w:t xml:space="preserve"> </w:t>
      </w:r>
      <w:r>
        <w:t xml:space="preserve">operating its</w:t>
      </w:r>
      <w:r>
        <w:t xml:space="preserve"> </w:t>
      </w:r>
      <w:r>
        <w:t xml:space="preserve">own systems, whether on-premises or on top of an authorized cloud. A few</w:t>
      </w:r>
      <w:r>
        <w:t xml:space="preserve"> </w:t>
      </w:r>
      <w:r>
        <w:t xml:space="preserve">bind both, in different ways, at different points in the same supply</w:t>
      </w:r>
      <w:r>
        <w:t xml:space="preserve"> </w:t>
      </w:r>
      <w:r>
        <w:t xml:space="preserve">chain. Conflating the two produces two opposite failure modes this paper</w:t>
      </w:r>
      <w:r>
        <w:t xml:space="preserve"> </w:t>
      </w:r>
      <w:r>
        <w:t xml:space="preserve">exists to prevent: agencies that assume</w:t>
      </w:r>
      <w:r>
        <w:t xml:space="preserve"> </w:t>
      </w:r>
      <w:r>
        <w:t xml:space="preserve">“FedRAMP”</w:t>
      </w:r>
      <w:r>
        <w:t xml:space="preserve"> </w:t>
      </w:r>
      <w:r>
        <w:t xml:space="preserve">is someone else’s</w:t>
      </w:r>
      <w:r>
        <w:t xml:space="preserve"> </w:t>
      </w:r>
      <w:r>
        <w:t xml:space="preserve">problem and miss their own continuous-monitoring obligation, and</w:t>
      </w:r>
      <w:r>
        <w:t xml:space="preserve"> </w:t>
      </w:r>
      <w:r>
        <w:t xml:space="preserve">agencies that pour effort into vendor-shaped compliance work — chasing</w:t>
      </w:r>
      <w:r>
        <w:t xml:space="preserve"> </w:t>
      </w:r>
      <w:r>
        <w:t xml:space="preserve">a CSP’s authorization paperwork — that was never theirs to do.</w:t>
      </w:r>
    </w:p>
    <w:p>
      <w:pPr>
        <w:pStyle w:val="BodyText"/>
      </w:pPr>
      <w:r>
        <w:t xml:space="preserve">This paper answers one question per mandate —</w:t>
      </w:r>
      <w:r>
        <w:t xml:space="preserve"> </w:t>
      </w:r>
      <w:r>
        <w:rPr>
          <w:b/>
          <w:bCs/>
        </w:rPr>
        <w:t xml:space="preserve">who does this actually</w:t>
      </w:r>
      <w:r>
        <w:rPr>
          <w:b/>
          <w:bCs/>
        </w:rPr>
        <w:t xml:space="preserve"> </w:t>
      </w:r>
      <w:r>
        <w:rPr>
          <w:b/>
          <w:bCs/>
        </w:rPr>
        <w:t xml:space="preserve">bind?</w:t>
      </w:r>
      <w:r>
        <w:t xml:space="preserve"> </w:t>
      </w:r>
      <w:r>
        <w:t xml:space="preserve">— states the deadlines that matter, and then gets out of the</w:t>
      </w:r>
      <w:r>
        <w:t xml:space="preserve"> </w:t>
      </w:r>
      <w:r>
        <w:t xml:space="preserve">way: every mandate below is covered in far more depth by a companion</w:t>
      </w:r>
      <w:r>
        <w:t xml:space="preserve"> </w:t>
      </w:r>
      <w:r>
        <w:t xml:space="preserve">whitepaper in this section, and this page’s job is to route you to the</w:t>
      </w:r>
      <w:r>
        <w:t xml:space="preserve"> </w:t>
      </w:r>
      <w:r>
        <w:t xml:space="preserve">right one, not to re-derive what they already establish.</w:t>
      </w:r>
      <w:r>
        <w:t xml:space="preserve"> </w:t>
      </w:r>
      <w:r>
        <w:rPr>
          <w:b/>
          <w:bCs/>
        </w:rPr>
        <w:t xml:space="preserve">Scope:</w:t>
      </w:r>
      <w:r>
        <w:t xml:space="preserve"> </w:t>
      </w:r>
      <w:r>
        <w:t xml:space="preserve">federal civilian agencies operating at the FedRAMP Moderate baseline</w:t>
      </w:r>
      <w:r>
        <w:t xml:space="preserve"> </w:t>
      </w:r>
      <w:r>
        <w:t xml:space="preserve">(GCC-Moderate for Microsoft 365 tenants specifically). DoD/IL4-IL5,</w:t>
      </w:r>
      <w:r>
        <w:t xml:space="preserve"> </w:t>
      </w:r>
      <w:r>
        <w:t xml:space="preserve">state and local, and commercial-non-federal compliance regimes are out</w:t>
      </w:r>
      <w:r>
        <w:t xml:space="preserve"> </w:t>
      </w:r>
      <w:r>
        <w:t xml:space="preserve">of scope — see</w:t>
      </w:r>
      <w:r>
        <w:t xml:space="preserve"> </w:t>
      </w:r>
      <w:hyperlink w:anchor="honest-limits-and-scope">
        <w:r>
          <w:rPr>
            <w:rStyle w:val="Hyperlink"/>
          </w:rPr>
          <w:t xml:space="preserve">Honest limits</w:t>
        </w:r>
      </w:hyperlink>
      <w:r>
        <w:t xml:space="preserve">.</w:t>
      </w:r>
    </w:p>
    <w:bookmarkEnd w:id="10"/>
    <w:bookmarkStart w:id="17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Three distinct actors sit inside</w:t>
      </w:r>
      <w:r>
        <w:t xml:space="preserve"> </w:t>
      </w:r>
      <w:r>
        <w:t xml:space="preserve">“federal compliance,”</w:t>
      </w:r>
      <w:r>
        <w:t xml:space="preserve"> </w:t>
      </w:r>
      <w:r>
        <w:t xml:space="preserve">and almost every</w:t>
      </w:r>
      <w:r>
        <w:t xml:space="preserve"> </w:t>
      </w:r>
      <w:r>
        <w:t xml:space="preserve">mandate below binds exactly one of them directly:</w:t>
      </w:r>
    </w:p>
    <w:tbl>
      <w:tblPr>
        <w:tblStyle w:val="Table"/>
        <w:tblW w:type="pct" w:w="4932"/>
        <w:tblLayout w:type="fixed"/>
        <w:tblLook w:firstRow="1" w:lastRow="0" w:firstColumn="0" w:lastColumn="0" w:noHBand="0" w:noVBand="0" w:val="0020"/>
      </w:tblPr>
      <w:tblGrid>
        <w:gridCol w:w="2603"/>
        <w:gridCol w:w="2603"/>
        <w:gridCol w:w="260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Actor Role Directly boun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 by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Cloud Service Builds a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Provider (CSP) / Cloud 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vendor</w:t>
            </w:r>
            <w:r>
              <w:t xml:space="preserve"> </w:t>
            </w:r>
            <w:r>
              <w:t xml:space="preserve">(CSO) it sells</w:t>
            </w:r>
            <w:r>
              <w:t xml:space="preserve"> </w:t>
            </w:r>
            <w:r>
              <w:t xml:space="preserve">federal market specifica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nd operates a FedRAMP (t</w:t>
            </w:r>
            <w:r>
              <w:t xml:space="preserve"> </w:t>
            </w:r>
            <w:r>
              <w:t xml:space="preserve">ervice Offering itself,</w:t>
            </w:r>
            <w:r>
              <w:t xml:space="preserve"> </w:t>
            </w:r>
            <w:r>
              <w:t xml:space="preserve">into the Consolidated Ru</w:t>
            </w:r>
            <w:r>
              <w:t xml:space="preserve"> </w:t>
            </w:r>
            <w:r>
              <w:t xml:space="preserve">lly)</w:t>
            </w:r>
          </w:p>
        </w:tc>
        <w:tc>
          <w:tcPr/>
          <w:p>
            <w:pPr>
              <w:pStyle w:val="Compact"/>
            </w:pPr>
            <w:r>
              <w:t xml:space="preserve">he baseline</w:t>
            </w:r>
            <w:r>
              <w:t xml:space="preserve"> </w:t>
            </w:r>
            <w:r>
              <w:t xml:space="preserve">and the 20x</w:t>
            </w:r>
            <w:r>
              <w:t xml:space="preserve"> </w:t>
            </w:r>
            <w:r>
              <w:t xml:space="preserve">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Federal agency</w:t>
            </w:r>
            <w:r>
              <w:t xml:space="preserve"> </w:t>
            </w:r>
            <w:r>
              <w:t xml:space="preserve">(AO,</w:t>
            </w:r>
            <w:r>
              <w:t xml:space="preserve"> </w:t>
            </w:r>
            <w:r>
              <w:t xml:space="preserve">ISSO, CISO, mission its</w:t>
            </w:r>
            <w:r>
              <w:t xml:space="preserve"> </w:t>
            </w:r>
            <w:r>
              <w:t xml:space="preserve">owner) top of an authori</w:t>
            </w:r>
            <w:r>
              <w:t xml:space="preserve"> </w:t>
            </w:r>
            <w:r>
              <w:t xml:space="preserve">CSO — and holds its th</w:t>
            </w:r>
            <w:r>
              <w:t xml:space="preserve"> </w:t>
            </w:r>
            <w:r>
              <w:t xml:space="preserve">own Authority to Model),</w:t>
            </w:r>
            <w:r>
              <w:t xml:space="preserve"> </w:t>
            </w:r>
            <w:r>
              <w:t xml:space="preserve">Operate memos (M-22-09,</w:t>
            </w:r>
            <w:r>
              <w:t xml:space="preserve"> </w:t>
            </w:r>
            <w:r>
              <w:t xml:space="preserve">M-25-21, M-19-26/TIC</w:t>
            </w:r>
            <w:r>
              <w:t xml:space="preserve"> </w:t>
            </w:r>
            <w:r>
              <w:t xml:space="preserve">3.0)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Operates systems — NIS</w:t>
            </w:r>
            <w:r>
              <w:t xml:space="preserve"> </w:t>
            </w:r>
            <w:r>
              <w:t xml:space="preserve">own, or built on (its ow</w:t>
            </w:r>
            <w:r>
              <w:t xml:space="preserve"> </w:t>
            </w:r>
            <w:r>
              <w:t xml:space="preserve">zed directives (BOD 25-0</w:t>
            </w:r>
            <w:r>
              <w:t xml:space="preserve"> </w:t>
            </w:r>
            <w:r>
              <w:t xml:space="preserve">e Zero Trust Maturity</w:t>
            </w:r>
            <w:r>
              <w:t xml:space="preserve"> </w:t>
            </w:r>
            <w:r>
              <w:t xml:space="preserve">OMB’s policy</w:t>
            </w:r>
          </w:p>
        </w:tc>
        <w:tc>
          <w:tcPr/>
          <w:p>
            <w:pPr>
              <w:pStyle w:val="Compact"/>
            </w:pPr>
            <w:r>
              <w:t xml:space="preserve">T SP 800-53/800-37</w:t>
            </w:r>
            <w:r>
              <w:t xml:space="preserve"> </w:t>
            </w:r>
            <w:r>
              <w:t xml:space="preserve">n ATO), CISA’s</w:t>
            </w:r>
            <w:r>
              <w:t xml:space="preserve"> </w:t>
            </w:r>
            <w:r>
              <w:t xml:space="preserve">1,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Independent assessor V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(3PAO, or an agency’s ev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own assessment — FedRA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function)</w:t>
            </w:r>
            <w:r>
              <w:t xml:space="preserve"> </w:t>
            </w:r>
            <w:r>
              <w:t xml:space="preserve">assessment r</w:t>
            </w:r>
            <w:r>
              <w:t xml:space="preserve"> </w:t>
            </w:r>
            <w:r>
              <w:t xml:space="preserve">for a CSP, or the</w:t>
            </w:r>
            <w:r>
              <w:t xml:space="preserve"> </w:t>
            </w:r>
            <w:r>
              <w:t xml:space="preserve">agency’s own RMF/ATO</w:t>
            </w:r>
            <w:r>
              <w:t xml:space="preserve"> </w:t>
            </w:r>
            <w:r>
              <w:t xml:space="preserve">process for</w:t>
            </w:r>
            <w:r>
              <w:t xml:space="preserve"> </w:t>
            </w:r>
            <w:r>
              <w:t xml:space="preserve">agency-operated systems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alidates either side’s W</w:t>
            </w:r>
            <w:r>
              <w:t xml:space="preserve"> </w:t>
            </w:r>
            <w:r>
              <w:t xml:space="preserve">idence it’s assessing ag</w:t>
            </w:r>
            <w:r>
              <w:t xml:space="preserve"> </w:t>
            </w:r>
            <w:r>
              <w:t xml:space="preserve">MP’s</w:t>
            </w:r>
            <w:r>
              <w:t xml:space="preserve"> </w:t>
            </w:r>
            <w:r>
              <w:t xml:space="preserve">equirements</w:t>
            </w:r>
          </w:p>
        </w:tc>
        <w:tc>
          <w:tcPr/>
          <w:p>
            <w:pPr>
              <w:pStyle w:val="Compact"/>
            </w:pPr>
            <w:r>
              <w:t xml:space="preserve">hichever framework</w:t>
            </w:r>
            <w:r>
              <w:t xml:space="preserve"> </w:t>
            </w:r>
            <w:r>
              <w:t xml:space="preserve">ainst</w:t>
            </w:r>
          </w:p>
        </w:tc>
      </w:tr>
    </w:tbl>
    <w:p>
      <w:pPr>
        <w:pStyle w:val="BodyText"/>
      </w:pPr>
      <w:r>
        <w:t xml:space="preserve">The confusion is that FedRAMP 20x’s headline change — continuous,</w:t>
      </w:r>
      <w:r>
        <w:t xml:space="preserve"> </w:t>
      </w:r>
      <w:r>
        <w:t xml:space="preserve">machine-readable evidence instead of periodic assessment — is a</w:t>
      </w:r>
      <w:r>
        <w:t xml:space="preserve"> </w:t>
      </w:r>
      <w:r>
        <w:rPr>
          <w:b/>
          <w:bCs/>
        </w:rPr>
        <w:t xml:space="preserve">CSP-facing authorization requirement</w:t>
      </w:r>
      <w:r>
        <w:t xml:space="preserve">, but the same evidentiary bar</w:t>
      </w:r>
      <w:r>
        <w:t xml:space="preserve"> </w:t>
      </w:r>
      <w:r>
        <w:t xml:space="preserve">(continuous, machine-readable, not point-in-time) is</w:t>
      </w:r>
      <w:r>
        <w:t xml:space="preserve"> </w:t>
      </w:r>
      <w:r>
        <w:rPr>
          <w:i/>
          <w:iCs/>
        </w:rPr>
        <w:t xml:space="preserve">also</w:t>
      </w:r>
      <w:r>
        <w:t xml:space="preserve"> </w:t>
      </w:r>
      <w:r>
        <w:t xml:space="preserve">rising for</w:t>
      </w:r>
      <w:r>
        <w:t xml:space="preserve"> </w:t>
      </w:r>
      <w:r>
        <w:t xml:space="preserve">agencies’ own systems under NIST SP 800-37’s continuous-monitoring</w:t>
      </w:r>
      <w:r>
        <w:t xml:space="preserve"> </w:t>
      </w:r>
      <w:r>
        <w:t xml:space="preserve">requirement (CA-7) and OMB Circular A-130. An agency reading</w:t>
      </w:r>
      <w:r>
        <w:t xml:space="preserve"> </w:t>
      </w:r>
      <w:r>
        <w:t xml:space="preserve">“FedRAMP</w:t>
      </w:r>
      <w:r>
        <w:t xml:space="preserve"> </w:t>
      </w:r>
      <w:r>
        <w:t xml:space="preserve">20x”</w:t>
      </w:r>
      <w:r>
        <w:t xml:space="preserve"> </w:t>
      </w:r>
      <w:r>
        <w:t xml:space="preserve">and concluding</w:t>
      </w:r>
      <w:r>
        <w:t xml:space="preserve"> </w:t>
      </w:r>
      <w:r>
        <w:t xml:space="preserve">“not my problem, that’s a CSP thing”</w:t>
      </w:r>
      <w:r>
        <w:t xml:space="preserve"> </w:t>
      </w:r>
      <w:r>
        <w:t xml:space="preserve">misses that its</w:t>
      </w:r>
      <w:r>
        <w:t xml:space="preserve"> </w:t>
      </w:r>
      <w:r>
        <w:t xml:space="preserve">own ATO package is being held to the same rising bar, on a different</w:t>
      </w:r>
      <w:r>
        <w:t xml:space="preserve"> </w:t>
      </w:r>
      <w:r>
        <w:t xml:space="preserve">legal basis, on roughly the same timeline. That’s the distinction this</w:t>
      </w:r>
      <w:r>
        <w:t xml:space="preserve"> </w:t>
      </w:r>
      <w:r>
        <w:t xml:space="preserve">paper exists to make explicit.</w:t>
      </w:r>
    </w:p>
    <w:tbl>
      <w:tblPr>
        <w:tblStyle w:val="Table"/>
        <w:tblW w:type="pct" w:w="5058"/>
        <w:tblLayout w:type="fixed"/>
        <w:tblLook w:firstRow="0" w:lastRow="0" w:firstColumn="0" w:lastColumn="0" w:noHBand="0" w:noVBand="0" w:val="0000"/>
      </w:tblPr>
      <w:tblGrid>
        <w:gridCol w:w="8012"/>
      </w:tblGrid>
      <w:tr>
        <w:tc>
          <w:tcPr/>
          <w:p>
            <w:pPr>
              <w:pStyle w:val="Compact"/>
            </w:pPr>
            <w:r>
              <w:drawing>
                <wp:inline>
                  <wp:extent cx="5334000" cy="3000375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../images/whitepapers/rId10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0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Figure 1: The federal cybersecurity legal stack: the agency-binding |</w:t>
            </w:r>
            <w:r>
              <w:t xml:space="preserve"> </w:t>
            </w:r>
            <w:r>
              <w:t xml:space="preserve">track (FISMA, 44 U.S.C. § 3551 et seq. → NIST SP 800-53 Rev 5 / SP |</w:t>
            </w:r>
            <w:r>
              <w:t xml:space="preserve"> </w:t>
            </w:r>
            <w:r>
              <w:t xml:space="preserve">800-37 RMF → executive policy — EO 14028 through EO 14306, OMB |</w:t>
            </w:r>
            <w:r>
              <w:t xml:space="preserve"> </w:t>
            </w:r>
            <w:r>
              <w:t xml:space="preserve">memos → CISA Binding Operational Directives under 44 U.S.C. § |</w:t>
            </w:r>
            <w:r>
              <w:t xml:space="preserve"> </w:t>
            </w:r>
            <w:r>
              <w:t xml:space="preserve">3553(b)(2) → the SCuBA technical baseline assessed by |</w:t>
            </w:r>
            <w:r>
              <w:t xml:space="preserve"> </w:t>
            </w:r>
            <w:r>
              <w:t xml:space="preserve">ScubaGear/ScubaGoggles) alongside the parallel CSP-binding track (the |</w:t>
            </w:r>
            <w:r>
              <w:t xml:space="preserve"> </w:t>
            </w:r>
            <w:r>
              <w:t xml:space="preserve">FedRAMP Authorization Act, 44 U.S.C. § 3607 → CSP authorization), |</w:t>
            </w:r>
            <w:r>
              <w:t xml:space="preserve"> </w:t>
            </w:r>
            <w:r>
              <w:t xml:space="preserve">which shares the same NIST 800-53 control baseline. No layer is</w:t>
            </w:r>
            <w:r>
              <w:t xml:space="preserve"> </w:t>
            </w:r>
            <w:r>
              <w:t xml:space="preserve">“most |</w:t>
            </w:r>
            <w:r>
              <w:t xml:space="preserve"> </w:t>
            </w:r>
            <w:r>
              <w:t xml:space="preserve">important”</w:t>
            </w:r>
            <w:r>
              <w:t xml:space="preserve"> </w:t>
            </w:r>
            <w:r>
              <w:t xml:space="preserve">— each authorizes the one below it; BOD 25-01/SCuBA is |</w:t>
            </w:r>
            <w:r>
              <w:t xml:space="preserve"> </w:t>
            </w:r>
            <w:r>
              <w:t xml:space="preserve">the narrowest-scope, most time-boxed obligation, not the top of the |</w:t>
            </w:r>
            <w:r>
              <w:t xml:space="preserve"> </w:t>
            </w:r>
            <w:r>
              <w:t xml:space="preserve">hierarchy. |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4932"/>
        <w:tblLayout w:type="fixed"/>
        <w:tblLook w:firstRow="0" w:lastRow="0" w:firstColumn="0" w:lastColumn="0" w:noHBand="0" w:noVBand="0" w:val="0000"/>
      </w:tblPr>
      <w:tblGrid>
        <w:gridCol w:w="7811"/>
      </w:tblGrid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../images/whitepapers/rId14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7"/>
    <w:bookmarkStart w:id="19" w:name="X3dfe04c5232faf59fa7623feb1411f5f55034ea"/>
    <w:p>
      <w:pPr>
        <w:pStyle w:val="Heading2"/>
      </w:pPr>
      <w:r>
        <w:t xml:space="preserve">1. FedRAMP and the 20x Consolidated Rules — binds vendors directly; agencies inherit the evidence</w:t>
      </w:r>
    </w:p>
    <w:p>
      <w:pPr>
        <w:pStyle w:val="FirstParagraph"/>
      </w:pPr>
      <w:r>
        <w:rPr>
          <w:b/>
          <w:bCs/>
        </w:rPr>
        <w:t xml:space="preserve">Who it binds:</w:t>
      </w:r>
      <w:r>
        <w:t xml:space="preserve"> </w:t>
      </w:r>
      <w:r>
        <w:t xml:space="preserve">FedRAMP authorizes Cloud Service Offerings. The</w:t>
      </w:r>
      <w:r>
        <w:t xml:space="preserve"> </w:t>
      </w:r>
      <w:r>
        <w:t xml:space="preserve">Consolidated Rules — published June 25, 2026 — are requirements a</w:t>
      </w:r>
      <w:r>
        <w:t xml:space="preserve"> </w:t>
      </w:r>
      <w:r>
        <w:rPr>
          <w:b/>
          <w:bCs/>
        </w:rPr>
        <w:t xml:space="preserve">CSP</w:t>
      </w:r>
      <w:r>
        <w:t xml:space="preserve"> </w:t>
      </w:r>
      <w:r>
        <w:t xml:space="preserve">meets to obtain and keep that authorization: machine-readable</w:t>
      </w:r>
      <w:r>
        <w:t xml:space="preserve"> </w:t>
      </w:r>
      <w:r>
        <w:t xml:space="preserve">Key Security Indicators (KSIs), submitted through one of three</w:t>
      </w:r>
      <w:r>
        <w:t xml:space="preserve"> </w:t>
      </w:r>
      <w:r>
        <w:t xml:space="preserve">certification pipelines, replacing the prior periodic-assessment model.</w:t>
      </w:r>
    </w:p>
    <w:p>
      <w:pPr>
        <w:pStyle w:val="BodyText"/>
      </w:pPr>
      <w:r>
        <w:rPr>
          <w:b/>
          <w:bCs/>
        </w:rPr>
        <w:t xml:space="preserve">What it means for agencies:</w:t>
      </w:r>
      <w:r>
        <w:t xml:space="preserve"> </w:t>
      </w:r>
      <w:r>
        <w:t xml:space="preserve">an agency does not submit into the</w:t>
      </w:r>
      <w:r>
        <w:t xml:space="preserve"> </w:t>
      </w:r>
      <w:r>
        <w:t xml:space="preserve">FedRAMP 20x pipeline the way a CSP does. What changes for the agency is</w:t>
      </w:r>
      <w:r>
        <w:t xml:space="preserve"> </w:t>
      </w:r>
      <w:r>
        <w:t xml:space="preserve">what it can now</w:t>
      </w:r>
      <w:r>
        <w:t xml:space="preserve"> </w:t>
      </w:r>
      <w:r>
        <w:rPr>
          <w:i/>
          <w:iCs/>
        </w:rPr>
        <w:t xml:space="preserve">expect to receive</w:t>
      </w:r>
      <w:r>
        <w:t xml:space="preserve">: continuous KSI evidence from its</w:t>
      </w:r>
      <w:r>
        <w:t xml:space="preserve"> </w:t>
      </w:r>
      <w:r>
        <w:t xml:space="preserve">FedRAMP-authorized cloud providers instead of a stale point-in-time</w:t>
      </w:r>
      <w:r>
        <w:t xml:space="preserve"> </w:t>
      </w:r>
      <w:r>
        <w:t xml:space="preserve">assessment package, and a narrower window in which an older-style (Rev5)</w:t>
      </w:r>
      <w:r>
        <w:t xml:space="preserve"> </w:t>
      </w:r>
      <w:r>
        <w:t xml:space="preserve">authorization remains valid at all. An agency’s own procurement and</w:t>
      </w:r>
      <w:r>
        <w:t xml:space="preserve"> </w:t>
      </w:r>
      <w:r>
        <w:t xml:space="preserve">ATO-reciprocity decisions — which CSOs it relies on, and how it cites</w:t>
      </w:r>
      <w:r>
        <w:t xml:space="preserve"> </w:t>
      </w:r>
      <w:r>
        <w:t xml:space="preserve">that reliance in its own SSP — depend on tracking these dates: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June 25, 2026</w:t>
      </w:r>
      <w:r>
        <w:t xml:space="preserve"> </w:t>
      </w:r>
      <w:r>
        <w:t xml:space="preserve">— FedRAMP publishes the Consolidated Rules for</w:t>
      </w:r>
      <w:r>
        <w:t xml:space="preserve"> </w:t>
      </w:r>
      <w:r>
        <w:t xml:space="preserve">2026; the machine-readable KSI evidence regime is defined.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July 6, 2026</w:t>
      </w:r>
      <w:r>
        <w:t xml:space="preserve"> </w:t>
      </w:r>
      <w:r>
        <w:t xml:space="preserve">— 20x Marketplace listings open; CSPs may enter</w:t>
      </w:r>
      <w:r>
        <w:t xml:space="preserve"> </w:t>
      </w:r>
      <w:r>
        <w:t xml:space="preserve">the initial implementation stage.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July 28, 2026</w:t>
      </w:r>
      <w:r>
        <w:t xml:space="preserve"> </w:t>
      </w:r>
      <w:r>
        <w:t xml:space="preserve">— FedRAMP Ready submissions cease; no new Ready</w:t>
      </w:r>
      <w:r>
        <w:t xml:space="preserve"> </w:t>
      </w:r>
      <w:r>
        <w:t xml:space="preserve">pathway.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August 3, 2026</w:t>
      </w:r>
      <w:r>
        <w:t xml:space="preserve"> </w:t>
      </w:r>
      <w:r>
        <w:t xml:space="preserve">— Class A pipeline opens (first</w:t>
      </w:r>
      <w:r>
        <w:t xml:space="preserve"> </w:t>
      </w:r>
      <w:r>
        <w:t xml:space="preserve">new-authorization submission window).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August 10, 2026</w:t>
      </w:r>
      <w:r>
        <w:t xml:space="preserve"> </w:t>
      </w:r>
      <w:r>
        <w:t xml:space="preserve">— Temporary Rev5 Program Certification opens</w:t>
      </w:r>
      <w:r>
        <w:t xml:space="preserve"> </w:t>
      </w:r>
      <w:r>
        <w:t xml:space="preserve">(Class B/C Ready-conversion and lost-sponsor paths).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August 31, 2026</w:t>
      </w:r>
      <w:r>
        <w:t xml:space="preserve"> </w:t>
      </w:r>
      <w:r>
        <w:t xml:space="preserve">— Class B and C pipelines open — Class C</w:t>
      </w:r>
      <w:r>
        <w:t xml:space="preserve"> </w:t>
      </w:r>
      <w:r>
        <w:t xml:space="preserve">(Moderate) is the class the CSOs a Moderate-baseline agency actually</w:t>
      </w:r>
      <w:r>
        <w:t xml:space="preserve"> </w:t>
      </w:r>
      <w:r>
        <w:t xml:space="preserve">relies on (M365 GCC, GovCloud, DDI providers) will enter. This is</w:t>
      </w:r>
      <w:r>
        <w:t xml:space="preserve"> </w:t>
      </w:r>
      <w:r>
        <w:t xml:space="preserve">the pipeline your vendors submit into; it is not an agency</w:t>
      </w:r>
      <w:r>
        <w:t xml:space="preserve"> </w:t>
      </w:r>
      <w:r>
        <w:t xml:space="preserve">submission window.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December 7, 2026</w:t>
      </w:r>
      <w:r>
        <w:t xml:space="preserve"> </w:t>
      </w:r>
      <w:r>
        <w:t xml:space="preserve">— FedRAMP’s Vulnerability Detection &amp;</w:t>
      </w:r>
      <w:r>
        <w:t xml:space="preserve"> </w:t>
      </w:r>
      <w:r>
        <w:t xml:space="preserve">Response (VDR) and Vulnerability Evaluation &amp; Reporting (VER) rules</w:t>
      </w:r>
      <w:r>
        <w:t xml:space="preserve"> </w:t>
      </w:r>
      <w:r>
        <w:t xml:space="preserve">become mandatory, aligned to CISA BOD 26-04’s remediation timelines</w:t>
      </w:r>
      <w:r>
        <w:t xml:space="preserve"> </w:t>
      </w:r>
      <w:r>
        <w:t xml:space="preserve">taking effect the same date (see</w:t>
      </w:r>
      <w:r>
        <w:t xml:space="preserve"> </w:t>
      </w:r>
      <w:hyperlink w:anchor="bod-26-04">
        <w:r>
          <w:rPr>
            <w:rStyle w:val="Hyperlink"/>
          </w:rPr>
          <w:t xml:space="preserve">§4</w:t>
        </w:r>
      </w:hyperlink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January 1, 2027</w:t>
      </w:r>
      <w:r>
        <w:t xml:space="preserve"> </w:t>
      </w:r>
      <w:r>
        <w:t xml:space="preserve">— Consolidated Rules mandatory for all</w:t>
      </w:r>
      <w:r>
        <w:t xml:space="preserve"> </w:t>
      </w:r>
      <w:r>
        <w:t xml:space="preserve">certified systems; the legacy Rev5 path closes for new</w:t>
      </w:r>
      <w:r>
        <w:t xml:space="preserve"> </w:t>
      </w:r>
      <w:r>
        <w:t xml:space="preserve">authorizations.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June 11, 2027</w:t>
      </w:r>
      <w:r>
        <w:t xml:space="preserve"> </w:t>
      </w:r>
      <w:r>
        <w:t xml:space="preserve">— no new Rev5 certifications accepted.</w:t>
      </w:r>
    </w:p>
    <w:p>
      <w:pPr>
        <w:pStyle w:val="FirstParagraph"/>
      </w:pPr>
      <w:r>
        <w:rPr>
          <w:b/>
          <w:bCs/>
        </w:rPr>
        <w:t xml:space="preserve">What it means for vendors:</w:t>
      </w:r>
      <w:r>
        <w:t xml:space="preserve"> </w:t>
      </w:r>
      <w:r>
        <w:t xml:space="preserve">everything above is the actual compliance</w:t>
      </w:r>
      <w:r>
        <w:t xml:space="preserve"> </w:t>
      </w:r>
      <w:r>
        <w:t xml:space="preserve">work. A CSP not moving toward Consolidated-Rules certification on this</w:t>
      </w:r>
      <w:r>
        <w:t xml:space="preserve"> </w:t>
      </w:r>
      <w:r>
        <w:t xml:space="preserve">timeline risks losing the ability to sell to federal agencies at all</w:t>
      </w:r>
      <w:r>
        <w:t xml:space="preserve"> </w:t>
      </w:r>
      <w:r>
        <w:t xml:space="preserve">once Rev5 stops being issued.</w:t>
      </w:r>
    </w:p>
    <w:p>
      <w:pPr>
        <w:pStyle w:val="BodyText"/>
      </w:pPr>
      <w:r>
        <w:rPr>
          <w:b/>
          <w:bCs/>
        </w:rPr>
        <w:t xml:space="preserve">Read deeper:</w:t>
      </w:r>
      <w:r>
        <w:t xml:space="preserve"> </w:t>
      </w:r>
      <w:hyperlink r:id="rId18">
        <w:r>
          <w:rPr>
            <w:rStyle w:val="Hyperlink"/>
          </w:rPr>
          <w:t xml:space="preserve">Federal Application Aware Networking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Architecture</w:t>
        </w:r>
      </w:hyperlink>
      <w:r>
        <w:t xml:space="preserve"> </w:t>
      </w:r>
      <w:r>
        <w:t xml:space="preserve">§</w:t>
      </w:r>
      <w:r>
        <w:t xml:space="preserve"> </w:t>
      </w:r>
      <w:r>
        <w:t xml:space="preserve">“FedRAMP 20x Consolidated Rules”</w:t>
      </w:r>
      <w:r>
        <w:t xml:space="preserve"> </w:t>
      </w:r>
      <w:r>
        <w:t xml:space="preserve">covers the KSI evidence-format</w:t>
      </w:r>
      <w:r>
        <w:t xml:space="preserve"> </w:t>
      </w:r>
      <w:r>
        <w:t xml:space="preserve">mechanics and a worked Call to Action built around these dates. For the</w:t>
      </w:r>
      <w:r>
        <w:t xml:space="preserve"> </w:t>
      </w:r>
      <w:r>
        <w:t xml:space="preserve">full control-by-control mapping and the fuller federal compliance clock</w:t>
      </w:r>
      <w:r>
        <w:t xml:space="preserve"> </w:t>
      </w:r>
      <w:r>
        <w:t xml:space="preserve">this timeline is drawn from, see the the compliance series series’ Executive</w:t>
      </w:r>
      <w:r>
        <w:t xml:space="preserve"> </w:t>
      </w:r>
      <w:r>
        <w:t xml:space="preserve">Summary</w:t>
      </w:r>
      <w:r>
        <w:t xml:space="preserve"> </w:t>
      </w:r>
      <w:r>
        <w:t xml:space="preserve">(</w:t>
      </w:r>
      <w:r>
        <w:t xml:space="preserve">“FedRAMP 20x Hard Deadlines”</w:t>
      </w:r>
      <w:r>
        <w:t xml:space="preserve"> </w:t>
      </w:r>
      <w:r>
        <w:t xml:space="preserve">and</w:t>
      </w:r>
      <w:r>
        <w:t xml:space="preserve"> </w:t>
      </w:r>
      <w:r>
        <w:t xml:space="preserve">“The Broader Federal Clock”</w:t>
      </w:r>
      <w:r>
        <w:t xml:space="preserve">).</w:t>
      </w:r>
    </w:p>
    <w:bookmarkEnd w:id="19"/>
    <w:bookmarkStart w:id="20" w:name="Xb0f3f123f354890762bc083d8a216458618a96f"/>
    <w:p>
      <w:pPr>
        <w:pStyle w:val="Heading2"/>
      </w:pPr>
      <w:r>
        <w:t xml:space="preserve">2. NIST SP 800-53 / SP 800-37 (the Risk Management Framework) — binds agencies directly for systems they operate</w:t>
      </w:r>
    </w:p>
    <w:p>
      <w:pPr>
        <w:pStyle w:val="FirstParagraph"/>
      </w:pPr>
      <w:r>
        <w:rPr>
          <w:b/>
          <w:bCs/>
        </w:rPr>
        <w:t xml:space="preserve">Who it binds:</w:t>
      </w:r>
      <w:r>
        <w:t xml:space="preserve"> </w:t>
      </w:r>
      <w:r>
        <w:t xml:space="preserve">any federal agency operating an information system,</w:t>
      </w:r>
      <w:r>
        <w:t xml:space="preserve"> </w:t>
      </w:r>
      <w:r>
        <w:t xml:space="preserve">regardless of where it runs (on-premises, in an authorized CSP’s cloud,</w:t>
      </w:r>
      <w:r>
        <w:t xml:space="preserve"> </w:t>
      </w:r>
      <w:r>
        <w:t xml:space="preserve">or hybrid). The agency’s Authorizing Official (AO) issues and owns the</w:t>
      </w:r>
      <w:r>
        <w:t xml:space="preserve"> </w:t>
      </w:r>
      <w:r>
        <w:t xml:space="preserve">Authority to Operate (ATO) under NIST SP 800-37’s Risk Management</w:t>
      </w:r>
      <w:r>
        <w:t xml:space="preserve"> </w:t>
      </w:r>
      <w:r>
        <w:t xml:space="preserve">Framework, against the control baseline NIST SP 800-53 defines (Moderate</w:t>
      </w:r>
      <w:r>
        <w:t xml:space="preserve"> </w:t>
      </w:r>
      <w:r>
        <w:t xml:space="preserve">baseline, for the GCC-Moderate scope this paper covers).</w:t>
      </w:r>
    </w:p>
    <w:p>
      <w:pPr>
        <w:pStyle w:val="BodyText"/>
      </w:pPr>
      <w:r>
        <w:rPr>
          <w:b/>
          <w:bCs/>
        </w:rPr>
        <w:t xml:space="preserve">What it means for agencies:</w:t>
      </w:r>
      <w:r>
        <w:t xml:space="preserve"> </w:t>
      </w:r>
      <w:r>
        <w:t xml:space="preserve">this is the mandate most directly</w:t>
      </w:r>
      <w:r>
        <w:t xml:space="preserve"> </w:t>
      </w:r>
      <w:r>
        <w:t xml:space="preserve">“yours”</w:t>
      </w:r>
      <w:r>
        <w:t xml:space="preserve"> </w:t>
      </w:r>
      <w:r>
        <w:t xml:space="preserve">of everything in this paper. Running on top of a</w:t>
      </w:r>
      <w:r>
        <w:t xml:space="preserve"> </w:t>
      </w:r>
      <w:r>
        <w:t xml:space="preserve">FedRAMP-authorized CSO inherits that CSO’s own controls but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relieve the agency of its own ATO for the system it built on top of it</w:t>
      </w:r>
      <w:r>
        <w:t xml:space="preserve"> </w:t>
      </w:r>
      <w:r>
        <w:t xml:space="preserve">— a common point of confusion this paper exists partly to close. NIST</w:t>
      </w:r>
      <w:r>
        <w:t xml:space="preserve"> </w:t>
      </w:r>
      <w:r>
        <w:t xml:space="preserve">SP 800-37’s CA-7 continuous-monitoring requirement is the agency-side</w:t>
      </w:r>
      <w:r>
        <w:t xml:space="preserve"> </w:t>
      </w:r>
      <w:r>
        <w:t xml:space="preserve">analog of FedRAMP 20x’s KSI evidence — same</w:t>
      </w:r>
      <w:r>
        <w:t xml:space="preserve"> </w:t>
      </w:r>
      <w:r>
        <w:t xml:space="preserve">“continuous, not periodic”</w:t>
      </w:r>
      <w:r>
        <w:t xml:space="preserve"> </w:t>
      </w:r>
      <w:r>
        <w:t xml:space="preserve">shift, different legal basis (the agency’s own RMF obligation, not a</w:t>
      </w:r>
      <w:r>
        <w:t xml:space="preserve"> </w:t>
      </w:r>
      <w:r>
        <w:t xml:space="preserve">CSP’s FedRAMP authorization).</w:t>
      </w:r>
    </w:p>
    <w:p>
      <w:pPr>
        <w:pStyle w:val="BodyText"/>
      </w:pPr>
      <w:r>
        <w:rPr>
          <w:b/>
          <w:bCs/>
        </w:rPr>
        <w:t xml:space="preserve">What it means for vendors:</w:t>
      </w:r>
      <w:r>
        <w:t xml:space="preserve"> </w:t>
      </w:r>
      <w:r>
        <w:t xml:space="preserve">a CSP’s FedRAMP authorization is an input</w:t>
      </w:r>
      <w:r>
        <w:t xml:space="preserve"> </w:t>
      </w:r>
      <w:r>
        <w:t xml:space="preserve">to an agency’s risk decision, not a substitute for the agency completing</w:t>
      </w:r>
      <w:r>
        <w:t xml:space="preserve"> </w:t>
      </w:r>
      <w:r>
        <w:t xml:space="preserve">its own ATO. A vendor selling</w:t>
      </w:r>
      <w:r>
        <w:t xml:space="preserve"> </w:t>
      </w:r>
      <w:r>
        <w:t xml:space="preserve">“FedRAMP authorized”</w:t>
      </w:r>
      <w:r>
        <w:t xml:space="preserve"> </w:t>
      </w:r>
      <w:r>
        <w:t xml:space="preserve">as if it closes the</w:t>
      </w:r>
      <w:r>
        <w:t xml:space="preserve"> </w:t>
      </w:r>
      <w:r>
        <w:t xml:space="preserve">agency’s compliance work oversells what the authorization covers.</w:t>
      </w:r>
    </w:p>
    <w:p>
      <w:pPr>
        <w:pStyle w:val="BodyText"/>
      </w:pPr>
      <w:r>
        <w:rPr>
          <w:b/>
          <w:bCs/>
        </w:rPr>
        <w:t xml:space="preserve">Read deeper:</w:t>
      </w:r>
      <w:r>
        <w:t xml:space="preserve"> </w:t>
      </w:r>
      <w:r>
        <w:t xml:space="preserve">every whitepaper in this section that cites specific</w:t>
      </w:r>
      <w:r>
        <w:t xml:space="preserve"> </w:t>
      </w:r>
      <w:r>
        <w:t xml:space="preserve">NIST SP 800-53 controls (SC-7, SC-8, AC-4, SI-3, CM-8, and others) is</w:t>
      </w:r>
      <w:r>
        <w:t xml:space="preserve"> </w:t>
      </w:r>
      <w:r>
        <w:t xml:space="preserve">doing RMF work for a specific domain — see the</w:t>
      </w:r>
      <w:r>
        <w:t xml:space="preserve"> </w:t>
      </w:r>
      <w:hyperlink w:anchor="where-to-read-deeper-by-mandate">
        <w:r>
          <w:rPr>
            <w:rStyle w:val="Hyperlink"/>
          </w:rPr>
          <w:t xml:space="preserve">routing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table</w:t>
        </w:r>
      </w:hyperlink>
      <w:r>
        <w:t xml:space="preserve"> </w:t>
      </w:r>
      <w:r>
        <w:t xml:space="preserve">for which paper covers which</w:t>
      </w:r>
      <w:r>
        <w:t xml:space="preserve"> </w:t>
      </w:r>
      <w:r>
        <w:t xml:space="preserve">control family. For the full authorization-package mechanics — the</w:t>
      </w:r>
      <w:r>
        <w:t xml:space="preserve"> </w:t>
      </w:r>
      <w:r>
        <w:t xml:space="preserve">OSCAL bundle, the KSI scorecard, and how continuous evidence actually</w:t>
      </w:r>
      <w:r>
        <w:t xml:space="preserve"> </w:t>
      </w:r>
      <w:r>
        <w:t xml:space="preserve">assembles into an AP/AR/POA&amp;M set — see the the compliance series series’</w:t>
      </w:r>
      <w:r>
        <w:t xml:space="preserve"> </w:t>
      </w:r>
      <w:r>
        <w:t xml:space="preserve">Authorization Package and ConMon</w:t>
      </w:r>
      <w:r>
        <w:t xml:space="preserve"> </w:t>
      </w:r>
      <w:r>
        <w:t xml:space="preserve">book.</w:t>
      </w:r>
    </w:p>
    <w:bookmarkEnd w:id="20"/>
    <w:bookmarkStart w:id="25" w:name="X7fcf479e561817e69569c4d8e07394419459c35"/>
    <w:p>
      <w:pPr>
        <w:pStyle w:val="Heading2"/>
      </w:pPr>
      <w:r>
        <w:t xml:space="preserve">3. CISA Binding Operational Directive 25-01 (SCuBA) — binds agencies directly, on a fixed timeline</w:t>
      </w:r>
    </w:p>
    <w:p>
      <w:pPr>
        <w:pStyle w:val="FirstParagraph"/>
      </w:pPr>
      <w:r>
        <w:rPr>
          <w:b/>
          <w:bCs/>
        </w:rPr>
        <w:t xml:space="preserve">Who it binds:</w:t>
      </w:r>
      <w:r>
        <w:t xml:space="preserve"> </w:t>
      </w:r>
      <w:r>
        <w:t xml:space="preserve">federal civilian executive branch agencies operating</w:t>
      </w:r>
      <w:r>
        <w:t xml:space="preserve"> </w:t>
      </w:r>
      <w:r>
        <w:t xml:space="preserve">Microsoft 365 tenants.</w:t>
      </w:r>
      <w:r>
        <w:t xml:space="preserve"> </w:t>
      </w:r>
      <w:hyperlink r:id="rId21">
        <w:r>
          <w:rPr>
            <w:rStyle w:val="Hyperlink"/>
          </w:rPr>
          <w:t xml:space="preserve">BOD 25-01</w:t>
        </w:r>
      </w:hyperlink>
      <w:r>
        <w:t xml:space="preserve">,</w:t>
      </w:r>
      <w:r>
        <w:t xml:space="preserve"> </w:t>
      </w:r>
      <w:r>
        <w:rPr>
          <w:i/>
          <w:iCs/>
        </w:rPr>
        <w:t xml:space="preserve">Implementing Secure Practices for Cloud Services</w:t>
      </w:r>
      <w:r>
        <w:t xml:space="preserve">, requires agencies to</w:t>
      </w:r>
      <w:r>
        <w:t xml:space="preserve"> </w:t>
      </w:r>
      <w:r>
        <w:t xml:space="preserve">identify their M365 tenants, implement CISA’s SCuBA Secure Configuration</w:t>
      </w:r>
      <w:r>
        <w:t xml:space="preserve"> </w:t>
      </w:r>
      <w:r>
        <w:t xml:space="preserve">Baselines against them, deploy the ScubaGear assessment tool, integrate</w:t>
      </w:r>
      <w:r>
        <w:t xml:space="preserve"> </w:t>
      </w:r>
      <w:r>
        <w:t xml:space="preserve">with CISA’s continuous-monitoring infrastructure, and</w:t>
      </w:r>
      <w:r>
        <w:t xml:space="preserve"> </w:t>
      </w:r>
      <w:r>
        <w:rPr>
          <w:b/>
          <w:bCs/>
        </w:rPr>
        <w:t xml:space="preserve">remediate</w:t>
      </w:r>
      <w:r>
        <w:rPr>
          <w:b/>
          <w:bCs/>
        </w:rPr>
        <w:t xml:space="preserve"> </w:t>
      </w:r>
      <w:r>
        <w:rPr>
          <w:b/>
          <w:bCs/>
        </w:rPr>
        <w:t xml:space="preserve">deviations</w:t>
      </w:r>
      <w:r>
        <w:t xml:space="preserve"> </w:t>
      </w:r>
      <w:r>
        <w:t xml:space="preserve">from the baselines — not merely report them. Tenant</w:t>
      </w:r>
      <w:r>
        <w:t xml:space="preserve"> </w:t>
      </w:r>
      <w:r>
        <w:t xml:space="preserve">identification was due February 21, 2025; ScubaGear deployment followed</w:t>
      </w:r>
      <w:r>
        <w:t xml:space="preserve"> </w:t>
      </w:r>
      <w:r>
        <w:t xml:space="preserve">on a subsequent deadline.</w:t>
      </w:r>
    </w:p>
    <w:p>
      <w:pPr>
        <w:pStyle w:val="BodyText"/>
      </w:pPr>
      <w:r>
        <w:rPr>
          <w:b/>
          <w:bCs/>
        </w:rPr>
        <w:t xml:space="preserve">What it means for agencies:</w:t>
      </w:r>
      <w:r>
        <w:t xml:space="preserve"> </w:t>
      </w:r>
      <w:r>
        <w:t xml:space="preserve">this directive is unambiguously</w:t>
      </w:r>
      <w:r>
        <w:t xml:space="preserve"> </w:t>
      </w:r>
      <w:r>
        <w:t xml:space="preserve">agency-facing — there is no vendor party BOD 25-01 binds. The</w:t>
      </w:r>
      <w:r>
        <w:t xml:space="preserve"> </w:t>
      </w:r>
      <w:r>
        <w:t xml:space="preserve">remediation clause is the part agencies most often under-invest in:</w:t>
      </w:r>
      <w:r>
        <w:t xml:space="preserve"> </w:t>
      </w:r>
      <w:r>
        <w:t xml:space="preserve">running the assessor and reporting findings satisfies the letter of</w:t>
      </w:r>
      <w:r>
        <w:t xml:space="preserve"> </w:t>
      </w:r>
      <w:r>
        <w:t xml:space="preserve">“assess,”</w:t>
      </w:r>
      <w:r>
        <w:t xml:space="preserve"> </w:t>
      </w:r>
      <w:r>
        <w:t xml:space="preserve">but not</w:t>
      </w:r>
      <w:r>
        <w:t xml:space="preserve"> </w:t>
      </w:r>
      <w:r>
        <w:t xml:space="preserve">“remediate deviations,”</w:t>
      </w:r>
      <w:r>
        <w:t xml:space="preserve"> </w:t>
      </w:r>
      <w:r>
        <w:t xml:space="preserve">and a growing, un-closed</w:t>
      </w:r>
      <w:r>
        <w:t xml:space="preserve"> </w:t>
      </w:r>
      <w:r>
        <w:t xml:space="preserve">deviation list is not a defensible posture under the directive’s own</w:t>
      </w:r>
      <w:r>
        <w:t xml:space="preserve"> </w:t>
      </w:r>
      <w:r>
        <w:t xml:space="preserve">text.</w:t>
      </w:r>
    </w:p>
    <w:p>
      <w:pPr>
        <w:pStyle w:val="BodyText"/>
      </w:pPr>
      <w:r>
        <w:rPr>
          <w:b/>
          <w:bCs/>
        </w:rPr>
        <w:t xml:space="preserve">What it means for vendors:</w:t>
      </w:r>
      <w:r>
        <w:t xml:space="preserve"> </w:t>
      </w:r>
      <w:r>
        <w:t xml:space="preserve">Microsoft (as the M365 platform owner)</w:t>
      </w:r>
      <w:r>
        <w:t xml:space="preserve"> </w:t>
      </w:r>
      <w:r>
        <w:t xml:space="preserve">and any third-party tooling vendor selling into this space are not</w:t>
      </w:r>
      <w:r>
        <w:t xml:space="preserve"> </w:t>
      </w:r>
      <w:r>
        <w:t xml:space="preserve">directly bound by BOD 25-01 — the directive’s obligations run to the</w:t>
      </w:r>
      <w:r>
        <w:t xml:space="preserve"> </w:t>
      </w:r>
      <w:r>
        <w:t xml:space="preserve">agency operating the tenant, not to the platform or tool vendor.</w:t>
      </w:r>
    </w:p>
    <w:p>
      <w:pPr>
        <w:pStyle w:val="BodyText"/>
      </w:pPr>
      <w:r>
        <w:rPr>
          <w:b/>
          <w:bCs/>
        </w:rPr>
        <w:t xml:space="preserve">Read deeper:</w:t>
      </w:r>
      <w:r>
        <w:t xml:space="preserve"> </w:t>
      </w:r>
      <w:hyperlink r:id="rId22">
        <w:r>
          <w:rPr>
            <w:rStyle w:val="Hyperlink"/>
          </w:rPr>
          <w:t xml:space="preserve">Assessment Tools vs. Closing BOD-25-01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Findings</w:t>
        </w:r>
      </w:hyperlink>
      <w:r>
        <w:t xml:space="preserve"> </w:t>
      </w:r>
      <w:r>
        <w:t xml:space="preserve">is this paper’s dedicated</w:t>
      </w:r>
      <w:r>
        <w:t xml:space="preserve"> </w:t>
      </w:r>
      <w:r>
        <w:t xml:space="preserve">treatment of the directive, including why</w:t>
      </w:r>
      <w:r>
        <w:t xml:space="preserve"> </w:t>
      </w:r>
      <w:r>
        <w:t xml:space="preserve">“run the assessor”</w:t>
      </w:r>
      <w:r>
        <w:t xml:space="preserve"> </w:t>
      </w:r>
      <w:r>
        <w:t xml:space="preserve">and</w:t>
      </w:r>
      <w:r>
        <w:t xml:space="preserve"> </w:t>
      </w:r>
      <w:r>
        <w:t xml:space="preserve">“close</w:t>
      </w:r>
      <w:r>
        <w:t xml:space="preserve"> </w:t>
      </w:r>
      <w:r>
        <w:t xml:space="preserve">the findings”</w:t>
      </w:r>
      <w:r>
        <w:t xml:space="preserve"> </w:t>
      </w:r>
      <w:r>
        <w:t xml:space="preserve">are different obligations and the correct sequencing</w:t>
      </w:r>
      <w:r>
        <w:t xml:space="preserve"> </w:t>
      </w:r>
      <w:r>
        <w:t xml:space="preserve">between them.</w:t>
      </w:r>
      <w:r>
        <w:t xml:space="preserve"> </w:t>
      </w:r>
      <w:hyperlink r:id="rId23">
        <w:r>
          <w:rPr>
            <w:rStyle w:val="Hyperlink"/>
          </w:rPr>
          <w:t xml:space="preserve">ScubaGear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Integration</w:t>
        </w:r>
      </w:hyperlink>
      <w:r>
        <w:t xml:space="preserve"> </w:t>
      </w:r>
      <w:r>
        <w:t xml:space="preserve">and</w:t>
      </w:r>
      <w:r>
        <w:t xml:space="preserve"> </w:t>
      </w:r>
      <w:hyperlink r:id="rId24">
        <w:r>
          <w:rPr>
            <w:rStyle w:val="Hyperlink"/>
          </w:rPr>
          <w:t xml:space="preserve">ZTA and SCuBA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— How They Relate</w:t>
        </w:r>
      </w:hyperlink>
      <w:r>
        <w:t xml:space="preserve"> </w:t>
      </w:r>
      <w:r>
        <w:t xml:space="preserve">cover the tooling layer</w:t>
      </w:r>
      <w:r>
        <w:t xml:space="preserve"> </w:t>
      </w:r>
      <w:r>
        <w:t xml:space="preserve">this directive requires.</w:t>
      </w:r>
    </w:p>
    <w:bookmarkEnd w:id="25"/>
    <w:bookmarkStart w:id="26" w:name="X8995e3d77fa1de4dcbb08c1a4a8354ee2fb5a7b"/>
    <w:p>
      <w:pPr>
        <w:pStyle w:val="Heading2"/>
      </w:pPr>
      <w:r>
        <w:t xml:space="preserve">4. CISA BOD 26-04 (risk-based vulnerability remediation) — binds agencies directly</w:t>
      </w:r>
    </w:p>
    <w:p>
      <w:pPr>
        <w:pStyle w:val="FirstParagraph"/>
      </w:pPr>
      <w:r>
        <w:rPr>
          <w:b/>
          <w:bCs/>
        </w:rPr>
        <w:t xml:space="preserve">Who it binds:</w:t>
      </w:r>
      <w:r>
        <w:t xml:space="preserve"> </w:t>
      </w:r>
      <w:r>
        <w:t xml:space="preserve">federal civilian executive branch agencies. BOD 26-04,</w:t>
      </w:r>
      <w:r>
        <w:t xml:space="preserve"> </w:t>
      </w:r>
      <w:r>
        <w:t xml:space="preserve">issued June 10, 2026, replaces flat CVSS-severity remediation windows</w:t>
      </w:r>
      <w:r>
        <w:t xml:space="preserve"> </w:t>
      </w:r>
      <w:r>
        <w:t xml:space="preserve">with a four-variable risk model — exposure, presence on CISA’s Known</w:t>
      </w:r>
      <w:r>
        <w:t xml:space="preserve"> </w:t>
      </w:r>
      <w:r>
        <w:t xml:space="preserve">Exploited Vulnerabilities (KEV) catalog, whether the vulnerability is</w:t>
      </w:r>
      <w:r>
        <w:t xml:space="preserve"> </w:t>
      </w:r>
      <w:r>
        <w:t xml:space="preserve">automatable, and mission impact — producing remediation timelines that</w:t>
      </w:r>
      <w:r>
        <w:t xml:space="preserve"> </w:t>
      </w:r>
      <w:r>
        <w:t xml:space="preserve">range from three days for the highest-risk combination down to a</w:t>
      </w:r>
      <w:r>
        <w:t xml:space="preserve"> </w:t>
      </w:r>
      <w:r>
        <w:t xml:space="preserve">deferral path for genuinely low-risk findings. It</w:t>
      </w:r>
      <w:r>
        <w:t xml:space="preserve"> </w:t>
      </w:r>
      <w:r>
        <w:rPr>
          <w:b/>
          <w:bCs/>
        </w:rPr>
        <w:t xml:space="preserve">revokes BOD 22-01</w:t>
      </w:r>
      <w:r>
        <w:rPr>
          <w:b/>
          <w:bCs/>
        </w:rPr>
        <w:t xml:space="preserve"> </w:t>
      </w:r>
      <w:r>
        <w:rPr>
          <w:b/>
          <w:bCs/>
        </w:rPr>
        <w:t xml:space="preserve">and BOD 19-02 outright</w:t>
      </w:r>
      <w:r>
        <w:t xml:space="preserve"> </w:t>
      </w:r>
      <w:r>
        <w:t xml:space="preserve">— CISA now publishes the BOD 22-01 page at a</w:t>
      </w:r>
      <w:r>
        <w:t xml:space="preserve"> </w:t>
      </w:r>
      <w:r>
        <w:rPr>
          <w:rStyle w:val="VerbatimChar"/>
        </w:rPr>
        <w:t xml:space="preserve">-revoked</w:t>
      </w:r>
      <w:r>
        <w:t xml:space="preserve"> </w:t>
      </w:r>
      <w:r>
        <w:t xml:space="preserve">URL — and with them the flat 15/25-day KEV clocks and the</w:t>
      </w:r>
      <w:r>
        <w:t xml:space="preserve"> </w:t>
      </w:r>
      <w:r>
        <w:t xml:space="preserve">older, cruder</w:t>
      </w:r>
      <w:r>
        <w:t xml:space="preserve"> </w:t>
      </w:r>
      <w:r>
        <w:t xml:space="preserve">“CVSS 9+ closes in 15 days”</w:t>
      </w:r>
      <w:r>
        <w:t xml:space="preserve"> </w:t>
      </w:r>
      <w:r>
        <w:t xml:space="preserve">style of policy still common</w:t>
      </w:r>
      <w:r>
        <w:t xml:space="preserve"> </w:t>
      </w:r>
      <w:r>
        <w:t xml:space="preserve">in agency vulnerability-management SOPs.</w:t>
      </w:r>
    </w:p>
    <w:p>
      <w:pPr>
        <w:pStyle w:val="BodyText"/>
      </w:pPr>
      <w:r>
        <w:rPr>
          <w:b/>
          <w:bCs/>
        </w:rPr>
        <w:t xml:space="preserve">What it means for agencies:</w:t>
      </w:r>
      <w:r>
        <w:t xml:space="preserve"> </w:t>
      </w:r>
      <w:r>
        <w:t xml:space="preserve">two concrete dates matter. Agency</w:t>
      </w:r>
      <w:r>
        <w:t xml:space="preserve"> </w:t>
      </w:r>
      <w:r>
        <w:t xml:space="preserve">vulnerability-management policy has to support the four-variable,</w:t>
      </w:r>
      <w:r>
        <w:t xml:space="preserve"> </w:t>
      </w:r>
      <w:r>
        <w:t xml:space="preserve">risk-based remediation model by</w:t>
      </w:r>
      <w:r>
        <w:t xml:space="preserve"> </w:t>
      </w:r>
      <w:r>
        <w:rPr>
          <w:b/>
          <w:bCs/>
        </w:rPr>
        <w:t xml:space="preserve">August 7, 2026</w:t>
      </w:r>
      <w:r>
        <w:t xml:space="preserve">; the remediation</w:t>
      </w:r>
      <w:r>
        <w:t xml:space="preserve"> </w:t>
      </w:r>
      <w:r>
        <w:t xml:space="preserve">timelines themselves take legal effect</w:t>
      </w:r>
      <w:r>
        <w:t xml:space="preserve"> </w:t>
      </w:r>
      <w:r>
        <w:rPr>
          <w:b/>
          <w:bCs/>
        </w:rPr>
        <w:t xml:space="preserve">December 7, 2026</w:t>
      </w:r>
      <w:r>
        <w:t xml:space="preserve">, the same</w:t>
      </w:r>
      <w:r>
        <w:t xml:space="preserve"> </w:t>
      </w:r>
      <w:r>
        <w:t xml:space="preserve">date FedRAMP’s own VDR/VER (Vulnerability Detection &amp; Response /</w:t>
      </w:r>
      <w:r>
        <w:t xml:space="preserve"> </w:t>
      </w:r>
      <w:r>
        <w:t xml:space="preserve">Vulnerability Evaluation &amp; Reporting) rules become mandatory for CSPs</w:t>
      </w:r>
      <w:r>
        <w:t xml:space="preserve"> </w:t>
      </w:r>
      <w:r>
        <w:t xml:space="preserve">(§1). An agency’s existing BOD 22-01 (KEV remediation) program is the</w:t>
      </w:r>
      <w:r>
        <w:t xml:space="preserve"> </w:t>
      </w:r>
      <w:r>
        <w:t xml:space="preserve">closest predecessor process, but the relationship is replacement, not</w:t>
      </w:r>
      <w:r>
        <w:t xml:space="preserve"> </w:t>
      </w:r>
      <w:r>
        <w:t xml:space="preserve">accretion:</w:t>
      </w:r>
      <w:r>
        <w:t xml:space="preserve"> </w:t>
      </w:r>
      <w:r>
        <w:rPr>
          <w:b/>
          <w:bCs/>
        </w:rPr>
        <w:t xml:space="preserve">BOD 26-04 revoked BOD 22-01</w:t>
      </w:r>
      <w:r>
        <w:t xml:space="preserve">, and KEV listing survives as</w:t>
      </w:r>
      <w:r>
        <w:t xml:space="preserve"> </w:t>
      </w:r>
      <w:r>
        <w:rPr>
          <w:b/>
          <w:bCs/>
        </w:rPr>
        <w:t xml:space="preserve">one of the four risk variables</w:t>
      </w:r>
      <w:r>
        <w:t xml:space="preserve"> </w:t>
      </w:r>
      <w:r>
        <w:t xml:space="preserve">inside the new model rather than as a</w:t>
      </w:r>
      <w:r>
        <w:t xml:space="preserve"> </w:t>
      </w:r>
      <w:r>
        <w:t xml:space="preserve">free-standing obligation with its own clock. An agency that keeps its</w:t>
      </w:r>
      <w:r>
        <w:t xml:space="preserve"> </w:t>
      </w:r>
      <w:r>
        <w:t xml:space="preserve">KEV programme running unchanged and treats exposure, automatability and</w:t>
      </w:r>
      <w:r>
        <w:t xml:space="preserve"> </w:t>
      </w:r>
      <w:r>
        <w:t xml:space="preserve">technical impact as additions has kept a remediation SLA keyed to a</w:t>
      </w:r>
      <w:r>
        <w:t xml:space="preserve"> </w:t>
      </w:r>
      <w:r>
        <w:t xml:space="preserve">revoked directive.</w:t>
      </w:r>
    </w:p>
    <w:p>
      <w:pPr>
        <w:pStyle w:val="BodyText"/>
      </w:pPr>
      <w:r>
        <w:rPr>
          <w:b/>
          <w:bCs/>
        </w:rPr>
        <w:t xml:space="preserve">What it means for vendors:</w:t>
      </w:r>
      <w:r>
        <w:t xml:space="preserve"> </w:t>
      </w:r>
      <w:r>
        <w:t xml:space="preserve">a CSP’s own VDR/VER disclosure</w:t>
      </w:r>
      <w:r>
        <w:t xml:space="preserve"> </w:t>
      </w:r>
      <w:r>
        <w:t xml:space="preserve">obligations under FedRAMP (§1) are the vendor-side mirror of this</w:t>
      </w:r>
      <w:r>
        <w:t xml:space="preserve"> </w:t>
      </w:r>
      <w:r>
        <w:t xml:space="preserve">directive — a vulnerability an agency has to risk-score and remediate</w:t>
      </w:r>
      <w:r>
        <w:t xml:space="preserve"> </w:t>
      </w:r>
      <w:r>
        <w:t xml:space="preserve">against BOD 26-04’s clock is frequently one a vendor is separately</w:t>
      </w:r>
      <w:r>
        <w:t xml:space="preserve"> </w:t>
      </w:r>
      <w:r>
        <w:t xml:space="preserve">obligated to have already disclosed. The two obligations run on the same</w:t>
      </w:r>
      <w:r>
        <w:t xml:space="preserve"> </w:t>
      </w:r>
      <w:r>
        <w:t xml:space="preserve">December 7, 2026 date for exactly that reason.</w:t>
      </w:r>
    </w:p>
    <w:p>
      <w:pPr>
        <w:pStyle w:val="BodyText"/>
      </w:pPr>
      <w:r>
        <w:rPr>
          <w:b/>
          <w:bCs/>
        </w:rPr>
        <w:t xml:space="preserve">Read deeper:</w:t>
      </w:r>
      <w:r>
        <w:t xml:space="preserve"> </w:t>
      </w:r>
      <w:r>
        <w:t xml:space="preserve">this directive is new enough that no whitepaper in this</w:t>
      </w:r>
      <w:r>
        <w:t xml:space="preserve"> </w:t>
      </w:r>
      <w:r>
        <w:t xml:space="preserve">section yet carries a dedicated treatment —</w:t>
      </w:r>
      <w:r>
        <w:t xml:space="preserve"> </w:t>
      </w:r>
      <w:hyperlink r:id="rId22">
        <w:r>
          <w:rPr>
            <w:rStyle w:val="Hyperlink"/>
          </w:rPr>
          <w:t xml:space="preserve">Assessment Tools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vs. Closing BOD-25-01 Findings</w:t>
        </w:r>
      </w:hyperlink>
      <w:r>
        <w:t xml:space="preserve">’s</w:t>
      </w:r>
      <w:r>
        <w:t xml:space="preserve"> </w:t>
      </w:r>
      <w:r>
        <w:t xml:space="preserve">remediate-before-assess sequencing argument applies directly to BOD</w:t>
      </w:r>
      <w:r>
        <w:t xml:space="preserve"> </w:t>
      </w:r>
      <w:r>
        <w:t xml:space="preserve">26-04’s remediation clock, even though that paper predates BOD 26-04’s</w:t>
      </w:r>
      <w:r>
        <w:t xml:space="preserve"> </w:t>
      </w:r>
      <w:r>
        <w:t xml:space="preserve">issuance and doesn’t name it.</w:t>
      </w:r>
    </w:p>
    <w:bookmarkEnd w:id="26"/>
    <w:bookmarkStart w:id="30" w:name="Xe6245bfedd0b1684d524e6d83d4a7547163ba83"/>
    <w:p>
      <w:pPr>
        <w:pStyle w:val="Heading2"/>
      </w:pPr>
      <w:r>
        <w:t xml:space="preserve">5. CISA Zero Trust Maturity Model v2.0 — agency-facing maturity guidance, not a binding directive with its own deadline</w:t>
      </w:r>
    </w:p>
    <w:p>
      <w:pPr>
        <w:pStyle w:val="FirstParagraph"/>
      </w:pPr>
      <w:r>
        <w:rPr>
          <w:b/>
          <w:bCs/>
        </w:rPr>
        <w:t xml:space="preserve">Who it binds:</w:t>
      </w:r>
      <w:r>
        <w:t xml:space="preserve"> </w:t>
      </w:r>
      <w:r>
        <w:t xml:space="preserve">no agency is legally required to hit a specific ZTMM</w:t>
      </w:r>
      <w:r>
        <w:t xml:space="preserve"> </w:t>
      </w:r>
      <w:r>
        <w:t xml:space="preserve">maturity stage by a specific date the way BOD 25-01 sets a hard</w:t>
      </w:r>
      <w:r>
        <w:t xml:space="preserve"> </w:t>
      </w:r>
      <w:r>
        <w:t xml:space="preserve">deadline. The Maturity Model — four stages, Traditional through</w:t>
      </w:r>
      <w:r>
        <w:t xml:space="preserve"> </w:t>
      </w:r>
      <w:r>
        <w:t xml:space="preserve">Initial, Advanced, and Optimal, across five pillars (Identity, Devices,</w:t>
      </w:r>
      <w:r>
        <w:t xml:space="preserve"> </w:t>
      </w:r>
      <w:r>
        <w:t xml:space="preserve">Networks, Applications &amp; Workloads, Data) plus three cross-cutting</w:t>
      </w:r>
      <w:r>
        <w:t xml:space="preserve"> </w:t>
      </w:r>
      <w:r>
        <w:t xml:space="preserve">capabilities (Visibility and Analytics, Automation and Orchestration,</w:t>
      </w:r>
      <w:r>
        <w:t xml:space="preserve"> </w:t>
      </w:r>
      <w:r>
        <w:t xml:space="preserve">Governance) — is CISA’s own maturity guidance, referenced by OMB</w:t>
      </w:r>
      <w:r>
        <w:t xml:space="preserve"> </w:t>
      </w:r>
      <w:r>
        <w:t xml:space="preserve">M-22-09 as the framework agencies should measure progress against,</w:t>
      </w:r>
      <w:r>
        <w:t xml:space="preserve"> </w:t>
      </w:r>
      <w:r>
        <w:t xml:space="preserve">rather than itself the source of a compliance deadline.</w:t>
      </w:r>
    </w:p>
    <w:p>
      <w:pPr>
        <w:pStyle w:val="BodyText"/>
      </w:pPr>
      <w:r>
        <w:rPr>
          <w:b/>
          <w:bCs/>
        </w:rPr>
        <w:t xml:space="preserve">What it means for agencies:</w:t>
      </w:r>
      <w:r>
        <w:t xml:space="preserve"> </w:t>
      </w:r>
      <w:r>
        <w:t xml:space="preserve">most federal Zero Trust programs stall</w:t>
      </w:r>
      <w:r>
        <w:t xml:space="preserve"> </w:t>
      </w:r>
      <w:r>
        <w:t xml:space="preserve">below Advanced maturity for structural reasons — pillar tools</w:t>
      </w:r>
      <w:r>
        <w:t xml:space="preserve"> </w:t>
      </w:r>
      <w:r>
        <w:t xml:space="preserve">administered independently rather than governed as one system, evidence</w:t>
      </w:r>
      <w:r>
        <w:t xml:space="preserve"> </w:t>
      </w:r>
      <w:r>
        <w:t xml:space="preserve">that’s per-tool rather than per-claim, and Network/CSP/VMware estates</w:t>
      </w:r>
      <w:r>
        <w:t xml:space="preserve"> </w:t>
      </w:r>
      <w:r>
        <w:t xml:space="preserve">assessed as three disconnected exercises instead of one architecture.</w:t>
      </w:r>
      <w:r>
        <w:t xml:space="preserve"> </w:t>
      </w:r>
      <w:r>
        <w:t xml:space="preserve">Buying another per-pillar tool doesn’t fix a structural stall; the</w:t>
      </w:r>
      <w:r>
        <w:t xml:space="preserve"> </w:t>
      </w:r>
      <w:r>
        <w:t xml:space="preserve">companion papers below argue this in depth, with named incidents</w:t>
      </w:r>
      <w:r>
        <w:t xml:space="preserve"> </w:t>
      </w:r>
      <w:r>
        <w:t xml:space="preserve">(Storm-0558, the ESXiArgs ransomware campaign, the VMware ESXi</w:t>
      </w:r>
      <w:r>
        <w:t xml:space="preserve"> </w:t>
      </w:r>
      <w:r>
        <w:t xml:space="preserve">AD-integration bypass) as evidence, not assertion.</w:t>
      </w:r>
    </w:p>
    <w:p>
      <w:pPr>
        <w:pStyle w:val="BodyText"/>
      </w:pPr>
      <w:r>
        <w:rPr>
          <w:b/>
          <w:bCs/>
        </w:rPr>
        <w:t xml:space="preserve">What it means for vendors:</w:t>
      </w:r>
      <w:r>
        <w:t xml:space="preserve"> </w:t>
      </w:r>
      <w:r>
        <w:t xml:space="preserve">CSP-native and third-party security</w:t>
      </w:r>
      <w:r>
        <w:t xml:space="preserve"> </w:t>
      </w:r>
      <w:r>
        <w:t xml:space="preserve">tooling vendors sell products that can</w:t>
      </w:r>
      <w:r>
        <w:t xml:space="preserve"> </w:t>
      </w:r>
      <w:r>
        <w:rPr>
          <w:i/>
          <w:iCs/>
        </w:rPr>
        <w:t xml:space="preserve">move</w:t>
      </w:r>
      <w:r>
        <w:t xml:space="preserve"> </w:t>
      </w:r>
      <w:r>
        <w:t xml:space="preserve">an agency along the</w:t>
      </w:r>
      <w:r>
        <w:t xml:space="preserve"> </w:t>
      </w:r>
      <w:r>
        <w:t xml:space="preserve">maturity model, but no vendor’s tool, on its own, satisfies the model</w:t>
      </w:r>
      <w:r>
        <w:t xml:space="preserve"> </w:t>
      </w:r>
      <w:r>
        <w:t xml:space="preserve">— that’s the paper’s own central argument, not incidental to it.</w:t>
      </w:r>
    </w:p>
    <w:p>
      <w:pPr>
        <w:pStyle w:val="BodyText"/>
      </w:pPr>
      <w:r>
        <w:rPr>
          <w:b/>
          <w:bCs/>
        </w:rPr>
        <w:t xml:space="preserve">Read deeper:</w:t>
      </w:r>
      <w:r>
        <w:t xml:space="preserve"> </w:t>
      </w:r>
      <w:hyperlink r:id="rId27">
        <w:r>
          <w:rPr>
            <w:rStyle w:val="Hyperlink"/>
          </w:rPr>
          <w:t xml:space="preserve">Zero Trust Governance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Principles</w:t>
        </w:r>
      </w:hyperlink>
      <w:r>
        <w:t xml:space="preserve"> </w:t>
      </w:r>
      <w:r>
        <w:t xml:space="preserve">is the primary</w:t>
      </w:r>
      <w:r>
        <w:t xml:space="preserve"> </w:t>
      </w:r>
      <w:r>
        <w:t xml:space="preserve">treatment; its companion</w:t>
      </w:r>
      <w:r>
        <w:t xml:space="preserve"> </w:t>
      </w:r>
      <w:hyperlink r:id="rId28">
        <w:r>
          <w:rPr>
            <w:rStyle w:val="Hyperlink"/>
          </w:rPr>
          <w:t xml:space="preserve">Zero Trust Requires Whole-Agency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Scope</w:t>
        </w:r>
      </w:hyperlink>
      <w:r>
        <w:t xml:space="preserve"> </w:t>
      </w:r>
      <w:r>
        <w:t xml:space="preserve">covers why Network,</w:t>
      </w:r>
      <w:r>
        <w:t xml:space="preserve"> </w:t>
      </w:r>
      <w:r>
        <w:t xml:space="preserve">every CSP, and any on-premises virtualization estate have to be assessed</w:t>
      </w:r>
      <w:r>
        <w:t xml:space="preserve"> </w:t>
      </w:r>
      <w:r>
        <w:t xml:space="preserve">as one system.</w:t>
      </w:r>
      <w:r>
        <w:t xml:space="preserve"> </w:t>
      </w:r>
      <w:hyperlink r:id="rId29">
        <w:r>
          <w:rPr>
            <w:rStyle w:val="Hyperlink"/>
          </w:rPr>
          <w:t xml:space="preserve">Zero Trust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Governance</w:t>
        </w:r>
      </w:hyperlink>
      <w:r>
        <w:t xml:space="preserve"> </w:t>
      </w:r>
      <w:r>
        <w:t xml:space="preserve">maps the five pillars</w:t>
      </w:r>
      <w:r>
        <w:t xml:space="preserve"> </w:t>
      </w:r>
      <w:r>
        <w:t xml:space="preserve">to specific canon-anchored mechanisms.</w:t>
      </w:r>
    </w:p>
    <w:bookmarkEnd w:id="30"/>
    <w:bookmarkStart w:id="32" w:name="X217bbf6d6d83468a1182b4196c8bfc20d156153"/>
    <w:p>
      <w:pPr>
        <w:pStyle w:val="Heading2"/>
      </w:pPr>
      <w:r>
        <w:t xml:space="preserve">6. OMB M-22-09 (Federal Zero Trust Strategy) — the policy memo that makes ZTMM the reference standard</w:t>
      </w:r>
    </w:p>
    <w:p>
      <w:pPr>
        <w:pStyle w:val="FirstParagraph"/>
      </w:pPr>
      <w:r>
        <w:rPr>
          <w:b/>
          <w:bCs/>
        </w:rPr>
        <w:t xml:space="preserve">Who it binds:</w:t>
      </w:r>
      <w:r>
        <w:t xml:space="preserve"> </w:t>
      </w:r>
      <w:r>
        <w:t xml:space="preserve">federal agencies. OMB Memorandum M-22-09 is the policy</w:t>
      </w:r>
      <w:r>
        <w:t xml:space="preserve"> </w:t>
      </w:r>
      <w:r>
        <w:t xml:space="preserve">instrument that directs agencies to adopt Zero Trust architecture</w:t>
      </w:r>
      <w:r>
        <w:t xml:space="preserve"> </w:t>
      </w:r>
      <w:r>
        <w:t xml:space="preserve">principles and use CISA’s Zero Trust Maturity Model as the measurement</w:t>
      </w:r>
      <w:r>
        <w:t xml:space="preserve"> </w:t>
      </w:r>
      <w:r>
        <w:t xml:space="preserve">framework — it’s the piece connecting §4’s maturity model to an actual</w:t>
      </w:r>
      <w:r>
        <w:t xml:space="preserve"> </w:t>
      </w:r>
      <w:r>
        <w:t xml:space="preserve">OMB-issued agency obligation, rather than the maturity model being</w:t>
      </w:r>
      <w:r>
        <w:t xml:space="preserve"> </w:t>
      </w:r>
      <w:r>
        <w:t xml:space="preserve">purely advisory.</w:t>
      </w:r>
    </w:p>
    <w:p>
      <w:pPr>
        <w:pStyle w:val="BodyText"/>
      </w:pPr>
      <w:r>
        <w:rPr>
          <w:b/>
          <w:bCs/>
        </w:rPr>
        <w:t xml:space="preserve">What it means for agencies:</w:t>
      </w:r>
      <w:r>
        <w:t xml:space="preserve"> </w:t>
      </w:r>
      <w:r>
        <w:t xml:space="preserve">M-22-09 is cited throughout this section</w:t>
      </w:r>
      <w:r>
        <w:t xml:space="preserve"> </w:t>
      </w:r>
      <w:r>
        <w:t xml:space="preserve">wherever a paper argues that a specific architectural move</w:t>
      </w:r>
      <w:r>
        <w:t xml:space="preserve"> </w:t>
      </w:r>
      <w:r>
        <w:t xml:space="preserve">(application-aware networking, phishing-resistant MFA, Conditional</w:t>
      </w:r>
      <w:r>
        <w:t xml:space="preserve"> </w:t>
      </w:r>
      <w:r>
        <w:t xml:space="preserve">Access, SD-WAN local breakout) is not optional best practice but a</w:t>
      </w:r>
      <w:r>
        <w:t xml:space="preserve"> </w:t>
      </w:r>
      <w:r>
        <w:t xml:space="preserve">policy-driven expectation.</w:t>
      </w:r>
    </w:p>
    <w:p>
      <w:pPr>
        <w:pStyle w:val="BodyText"/>
      </w:pPr>
      <w:r>
        <w:rPr>
          <w:b/>
          <w:bCs/>
        </w:rPr>
        <w:t xml:space="preserve">What it means for vendors:</w:t>
      </w:r>
      <w:r>
        <w:t xml:space="preserve"> </w:t>
      </w:r>
      <w:r>
        <w:t xml:space="preserve">as with M-25-21 below, M-22-09 does not</w:t>
      </w:r>
      <w:r>
        <w:t xml:space="preserve"> </w:t>
      </w:r>
      <w:r>
        <w:t xml:space="preserve">bind vendors directly — it shapes what agencies procure, which shapes</w:t>
      </w:r>
      <w:r>
        <w:t xml:space="preserve"> </w:t>
      </w:r>
      <w:r>
        <w:t xml:space="preserve">vendor roadmaps indirectly.</w:t>
      </w:r>
    </w:p>
    <w:p>
      <w:pPr>
        <w:pStyle w:val="BodyText"/>
      </w:pPr>
      <w:r>
        <w:rPr>
          <w:b/>
          <w:bCs/>
        </w:rPr>
        <w:t xml:space="preserve">Read deeper:</w:t>
      </w:r>
      <w:r>
        <w:t xml:space="preserve"> </w:t>
      </w:r>
      <w:hyperlink r:id="rId18">
        <w:r>
          <w:rPr>
            <w:rStyle w:val="Hyperlink"/>
          </w:rPr>
          <w:t xml:space="preserve">Federal Application Aware Networking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Architecture</w:t>
        </w:r>
      </w:hyperlink>
      <w:r>
        <w:t xml:space="preserve"> </w:t>
      </w:r>
      <w:r>
        <w:t xml:space="preserve">and</w:t>
      </w:r>
      <w:r>
        <w:t xml:space="preserve"> </w:t>
      </w:r>
      <w:r>
        <w:t xml:space="preserve">its FMP-branded sibling</w:t>
      </w:r>
      <w:r>
        <w:t xml:space="preserve"> </w:t>
      </w:r>
      <w:hyperlink r:id="rId18">
        <w:r>
          <w:rPr>
            <w:rStyle w:val="Hyperlink"/>
          </w:rPr>
          <w:t xml:space="preserve">From Mainframe to Application-Aware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Modernization</w:t>
        </w:r>
      </w:hyperlink>
      <w:r>
        <w:t xml:space="preserve"> </w:t>
      </w:r>
      <w:r>
        <w:t xml:space="preserve">both build their core argument</w:t>
      </w:r>
      <w:r>
        <w:t xml:space="preserve"> </w:t>
      </w:r>
      <w:r>
        <w:t xml:space="preserve">on M-22-09’s identity-and-application-aware-networking direction — see</w:t>
      </w:r>
      <w:r>
        <w:t xml:space="preserve"> </w:t>
      </w:r>
      <w:r>
        <w:t xml:space="preserve">the</w:t>
      </w:r>
      <w:r>
        <w:t xml:space="preserve"> </w:t>
      </w:r>
      <w:hyperlink r:id="rId31">
        <w:r>
          <w:rPr>
            <w:rStyle w:val="Hyperlink"/>
          </w:rPr>
          <w:t xml:space="preserve">Reading Guide</w:t>
        </w:r>
      </w:hyperlink>
      <w:r>
        <w:t xml:space="preserve"> </w:t>
      </w:r>
      <w:r>
        <w:t xml:space="preserve">for which of the two fits your</w:t>
      </w:r>
      <w:r>
        <w:t xml:space="preserve"> </w:t>
      </w:r>
      <w:r>
        <w:t xml:space="preserve">audience.</w:t>
      </w:r>
    </w:p>
    <w:bookmarkEnd w:id="32"/>
    <w:bookmarkStart w:id="35" w:name="Xd8b893d581a504d5589a150415a708721e182d6"/>
    <w:p>
      <w:pPr>
        <w:pStyle w:val="Heading2"/>
      </w:pPr>
      <w:r>
        <w:t xml:space="preserve">7. TIC 3.0 (OMB M-19-26) — agency-facing policy, satisfied through vendor infrastructure</w:t>
      </w:r>
    </w:p>
    <w:p>
      <w:pPr>
        <w:pStyle w:val="FirstParagraph"/>
      </w:pPr>
      <w:r>
        <w:rPr>
          <w:b/>
          <w:bCs/>
        </w:rPr>
        <w:t xml:space="preserve">Who it binds:</w:t>
      </w:r>
      <w:r>
        <w:t xml:space="preserve"> </w:t>
      </w:r>
      <w:r>
        <w:t xml:space="preserve">federal agencies. OMB Memorandum M-19-26,</w:t>
      </w:r>
      <w:r>
        <w:t xml:space="preserve"> </w:t>
      </w:r>
      <w:r>
        <w:rPr>
          <w:i/>
          <w:iCs/>
        </w:rPr>
        <w:t xml:space="preserve">Update to</w:t>
      </w:r>
      <w:r>
        <w:rPr>
          <w:i/>
          <w:iCs/>
        </w:rPr>
        <w:t xml:space="preserve"> </w:t>
      </w:r>
      <w:r>
        <w:rPr>
          <w:i/>
          <w:iCs/>
        </w:rPr>
        <w:t xml:space="preserve">the Trusted Internet Connections (TIC) Initiative</w:t>
      </w:r>
      <w:r>
        <w:t xml:space="preserve">, directs agencies to</w:t>
      </w:r>
      <w:r>
        <w:t xml:space="preserve"> </w:t>
      </w:r>
      <w:r>
        <w:t xml:space="preserve">adopt one of CISA’s TIC 3.0 use cases for their network architecture,</w:t>
      </w:r>
      <w:r>
        <w:t xml:space="preserve"> </w:t>
      </w:r>
      <w:r>
        <w:t xml:space="preserve">replacing the prior single-hairpin TIC model. The obligation runs to the</w:t>
      </w:r>
      <w:r>
        <w:t xml:space="preserve"> </w:t>
      </w:r>
      <w:r>
        <w:t xml:space="preserve">agency; the means of satisfying it is almost always a vendor product</w:t>
      </w:r>
      <w:r>
        <w:t xml:space="preserve"> </w:t>
      </w:r>
      <w:r>
        <w:t xml:space="preserve">(SD-WAN, SASE, Direct Internet Access transport).</w:t>
      </w:r>
    </w:p>
    <w:p>
      <w:pPr>
        <w:pStyle w:val="BodyText"/>
      </w:pPr>
      <w:r>
        <w:rPr>
          <w:b/>
          <w:bCs/>
        </w:rPr>
        <w:t xml:space="preserve">What it means for agencies:</w:t>
      </w:r>
      <w:r>
        <w:t xml:space="preserve"> </w:t>
      </w:r>
      <w:r>
        <w:t xml:space="preserve">TIC 3.0 is the policy gate that makes</w:t>
      </w:r>
      <w:r>
        <w:t xml:space="preserve"> </w:t>
      </w:r>
      <w:r>
        <w:t xml:space="preserve">Direct Internet Access</w:t>
      </w:r>
      <w:r>
        <w:t xml:space="preserve"> </w:t>
      </w:r>
      <w:r>
        <w:rPr>
          <w:i/>
          <w:iCs/>
        </w:rPr>
        <w:t xml:space="preserve">lawful</w:t>
      </w:r>
      <w:r>
        <w:t xml:space="preserve"> </w:t>
      </w:r>
      <w:r>
        <w:t xml:space="preserve">for a distributed-egress architecture</w:t>
      </w:r>
      <w:r>
        <w:t xml:space="preserve"> </w:t>
      </w:r>
      <w:r>
        <w:t xml:space="preserve">— but DIA on its own satisfies none of the protection controls TIC 3.0</w:t>
      </w:r>
      <w:r>
        <w:t xml:space="preserve"> </w:t>
      </w:r>
      <w:r>
        <w:t xml:space="preserve">actually requires (SC-7 boundary protection, SC-8 confidentiality, AC-4</w:t>
      </w:r>
      <w:r>
        <w:t xml:space="preserve"> </w:t>
      </w:r>
      <w:r>
        <w:t xml:space="preserve">flow enforcement, SI-3 malware protection). Those come from the</w:t>
      </w:r>
      <w:r>
        <w:t xml:space="preserve"> </w:t>
      </w:r>
      <w:r>
        <w:t xml:space="preserve">SD-WAN/SASE governance stack layered on top of the transport, not from</w:t>
      </w:r>
      <w:r>
        <w:t xml:space="preserve"> </w:t>
      </w:r>
      <w:r>
        <w:t xml:space="preserve">the transport itself. An agency that reads</w:t>
      </w:r>
      <w:r>
        <w:t xml:space="preserve"> </w:t>
      </w:r>
      <w:r>
        <w:t xml:space="preserve">“TIC 3.0 allows DIA”</w:t>
      </w:r>
      <w:r>
        <w:t xml:space="preserve"> </w:t>
      </w:r>
      <w:r>
        <w:t xml:space="preserve">and</w:t>
      </w:r>
      <w:r>
        <w:t xml:space="preserve"> </w:t>
      </w:r>
      <w:r>
        <w:t xml:space="preserve">stops there — buying faster internet circuits without the governance</w:t>
      </w:r>
      <w:r>
        <w:t xml:space="preserve"> </w:t>
      </w:r>
      <w:r>
        <w:t xml:space="preserve">stack — has a compliance regression with better latency, not</w:t>
      </w:r>
      <w:r>
        <w:t xml:space="preserve"> </w:t>
      </w:r>
      <w:r>
        <w:t xml:space="preserve">modernization.</w:t>
      </w:r>
    </w:p>
    <w:p>
      <w:pPr>
        <w:pStyle w:val="BodyText"/>
      </w:pPr>
      <w:r>
        <w:rPr>
          <w:b/>
          <w:bCs/>
        </w:rPr>
        <w:t xml:space="preserve">What it means for vendors:</w:t>
      </w:r>
      <w:r>
        <w:t xml:space="preserve"> </w:t>
      </w:r>
      <w:r>
        <w:t xml:space="preserve">SD-WAN, SASE, and transport providers</w:t>
      </w:r>
      <w:r>
        <w:t xml:space="preserve"> </w:t>
      </w:r>
      <w:r>
        <w:t xml:space="preserve">(fiber, MPLS, LEO satellite, 5G) sell the infrastructure an agency uses</w:t>
      </w:r>
      <w:r>
        <w:t xml:space="preserve"> </w:t>
      </w:r>
      <w:r>
        <w:t xml:space="preserve">to satisfy TIC 3.0, but no vendor is itself bound by the directive —</w:t>
      </w:r>
      <w:r>
        <w:t xml:space="preserve"> </w:t>
      </w:r>
      <w:r>
        <w:t xml:space="preserve">the compliance obligation, and the accountability for it, stays with the</w:t>
      </w:r>
      <w:r>
        <w:t xml:space="preserve"> </w:t>
      </w:r>
      <w:r>
        <w:t xml:space="preserve">agency regardless of which vendor stack it procures.</w:t>
      </w:r>
    </w:p>
    <w:p>
      <w:pPr>
        <w:pStyle w:val="BodyText"/>
      </w:pPr>
      <w:r>
        <w:rPr>
          <w:b/>
          <w:bCs/>
        </w:rPr>
        <w:t xml:space="preserve">Read deeper:</w:t>
      </w:r>
      <w:r>
        <w:t xml:space="preserve"> </w:t>
      </w:r>
      <w:hyperlink r:id="rId33">
        <w:r>
          <w:rPr>
            <w:rStyle w:val="Hyperlink"/>
          </w:rPr>
          <w:t xml:space="preserve">SD-WAN vs. DIA Under TIC 3.0</w:t>
        </w:r>
      </w:hyperlink>
      <w:r>
        <w:t xml:space="preserve"> </w:t>
      </w:r>
      <w:r>
        <w:t xml:space="preserve">is the dedicated treatment — the</w:t>
      </w:r>
      <w:r>
        <w:t xml:space="preserve"> </w:t>
      </w:r>
      <w:r>
        <w:t xml:space="preserve">“pipe vs. governor”</w:t>
      </w:r>
      <w:r>
        <w:t xml:space="preserve"> </w:t>
      </w:r>
      <w:r>
        <w:t xml:space="preserve">argument, the</w:t>
      </w:r>
      <w:r>
        <w:t xml:space="preserve"> </w:t>
      </w:r>
      <w:r>
        <w:t xml:space="preserve">physics budget behind TIC 3.0’s use cases, and the five-step decision</w:t>
      </w:r>
      <w:r>
        <w:t xml:space="preserve"> </w:t>
      </w:r>
      <w:r>
        <w:t xml:space="preserve">sequence for an actual transport/SD-WAN procurement.</w:t>
      </w:r>
      <w:r>
        <w:t xml:space="preserve"> </w:t>
      </w:r>
      <w:hyperlink r:id="rId34">
        <w:r>
          <w:rPr>
            <w:rStyle w:val="Hyperlink"/>
          </w:rPr>
          <w:t xml:space="preserve">Next Generation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DNS</w:t>
        </w:r>
      </w:hyperlink>
      <w:r>
        <w:t xml:space="preserve"> </w:t>
      </w:r>
      <w:r>
        <w:t xml:space="preserve">covers the DNS-layer piece of</w:t>
      </w:r>
      <w:r>
        <w:t xml:space="preserve"> </w:t>
      </w:r>
      <w:r>
        <w:t xml:space="preserve">the same distributed-egress architecture.</w:t>
      </w:r>
    </w:p>
    <w:bookmarkEnd w:id="35"/>
    <w:bookmarkStart w:id="37" w:name="X8abcb0b24f6bcce4f4ada89f19f425f64e1ac07"/>
    <w:p>
      <w:pPr>
        <w:pStyle w:val="Heading2"/>
      </w:pPr>
      <w:r>
        <w:t xml:space="preserve">8. OMB M-25-21 (Federal AI governance) — agency-facing, and the newest mandate in this set</w:t>
      </w:r>
    </w:p>
    <w:p>
      <w:pPr>
        <w:pStyle w:val="FirstParagraph"/>
      </w:pPr>
      <w:r>
        <w:rPr>
          <w:b/>
          <w:bCs/>
        </w:rPr>
        <w:t xml:space="preserve">Who it binds:</w:t>
      </w:r>
      <w:r>
        <w:t xml:space="preserve"> </w:t>
      </w:r>
      <w:r>
        <w:t xml:space="preserve">federal agencies deploying or procuring AI systems.</w:t>
      </w:r>
      <w:r>
        <w:t xml:space="preserve"> </w:t>
      </w:r>
      <w:r>
        <w:t xml:space="preserve">Per</w:t>
      </w:r>
      <w:r>
        <w:t xml:space="preserve"> </w:t>
      </w:r>
      <w:r>
        <w:t xml:space="preserve">the program decision,</w:t>
      </w:r>
      <w:r>
        <w:t xml:space="preserve"> </w:t>
      </w:r>
      <w:r>
        <w:t xml:space="preserve">OMB M-25-21 carries four obligations on the agency: a Chief AI Officer</w:t>
      </w:r>
      <w:r>
        <w:t xml:space="preserve"> </w:t>
      </w:r>
      <w:r>
        <w:t xml:space="preserve">(due within 60 days); an AI use-case inventory to OMB at least annually;</w:t>
      </w:r>
      <w:r>
        <w:t xml:space="preserve"> </w:t>
      </w:r>
      <w:r>
        <w:rPr>
          <w:b/>
          <w:bCs/>
        </w:rPr>
        <w:t xml:space="preserve">§4(b)’s seven minimum risk-management practices</w:t>
      </w:r>
      <w:r>
        <w:t xml:space="preserve"> </w:t>
      </w:r>
      <w:r>
        <w:t xml:space="preserve">for high-impact AI</w:t>
      </w:r>
      <w:r>
        <w:t xml:space="preserve"> </w:t>
      </w:r>
      <w:r>
        <w:t xml:space="preserve">(pre-deployment testing, an AI impact assessment, ongoing monitoring,</w:t>
      </w:r>
      <w:r>
        <w:t xml:space="preserve"> </w:t>
      </w:r>
      <w:r>
        <w:t xml:space="preserve">human training, human oversight and intervention, remedies and appeals,</w:t>
      </w:r>
      <w:r>
        <w:t xml:space="preserve"> </w:t>
      </w:r>
      <w:r>
        <w:t xml:space="preserve">and public feedback); and compliance plans at 180 days and every two</w:t>
      </w:r>
      <w:r>
        <w:t xml:space="preserve"> </w:t>
      </w:r>
      <w:r>
        <w:t xml:space="preserve">years thereafter until 2036. All of those deadlines have now passed.</w:t>
      </w:r>
      <w:r>
        <w:t xml:space="preserve"> </w:t>
      </w:r>
      <w:r>
        <w:t xml:space="preserve">M-25-22 is the companion memo governing AI</w:t>
      </w:r>
      <w:r>
        <w:t xml:space="preserve"> </w:t>
      </w:r>
      <w:r>
        <w:rPr>
          <w:i/>
          <w:iCs/>
        </w:rPr>
        <w:t xml:space="preserve">acquisition</w:t>
      </w:r>
      <w:r>
        <w:t xml:space="preserve">. It is the most</w:t>
      </w:r>
      <w:r>
        <w:t xml:space="preserve"> </w:t>
      </w:r>
      <w:r>
        <w:t xml:space="preserve">recent mandate in this paper and the one with the least field-tested</w:t>
      </w:r>
      <w:r>
        <w:t xml:space="preserve"> </w:t>
      </w:r>
      <w:r>
        <w:t xml:space="preserve">guidance behind it.</w:t>
      </w:r>
    </w:p>
    <w:p>
      <w:pPr>
        <w:pStyle w:val="BodyText"/>
      </w:pPr>
      <w:r>
        <w:rPr>
          <w:b/>
          <w:bCs/>
        </w:rPr>
        <w:t xml:space="preserve">What it means for agencies:</w:t>
      </w:r>
      <w:r>
        <w:t xml:space="preserve"> </w:t>
      </w:r>
      <w:r>
        <w:t xml:space="preserve">an AI system has to be governed as an</w:t>
      </w:r>
      <w:r>
        <w:t xml:space="preserve"> </w:t>
      </w:r>
      <w:r>
        <w:t xml:space="preserve">identity-bearing, inventoried record — not just a model deployment.</w:t>
      </w:r>
      <w:r>
        <w:t xml:space="preserve"> </w:t>
      </w:r>
      <w:r>
        <w:t xml:space="preserve">Note what M-25-21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say: it imposes no AI-specific</w:t>
      </w:r>
      <w:r>
        <w:t xml:space="preserve"> </w:t>
      </w:r>
      <w:r>
        <w:t xml:space="preserve">Authorization to Operate and instead directs agencies to keep applying</w:t>
      </w:r>
      <w:r>
        <w:t xml:space="preserve"> </w:t>
      </w:r>
      <w:r>
        <w:t xml:space="preserve">their existing authorization requirements to AI systems. This is a live</w:t>
      </w:r>
      <w:r>
        <w:t xml:space="preserve"> </w:t>
      </w:r>
      <w:r>
        <w:t xml:space="preserve">gap for most agencies: mature AI-inventory and governance tooling for</w:t>
      </w:r>
      <w:r>
        <w:t xml:space="preserve"> </w:t>
      </w:r>
      <w:r>
        <w:t xml:space="preserve">this specific mandate is newer than the tooling maturity for FedRAMP,</w:t>
      </w:r>
      <w:r>
        <w:t xml:space="preserve"> </w:t>
      </w:r>
      <w:r>
        <w:t xml:space="preserve">NIST, or BOD 25-01.</w:t>
      </w:r>
    </w:p>
    <w:p>
      <w:pPr>
        <w:pStyle w:val="BodyText"/>
      </w:pPr>
      <w:r>
        <w:rPr>
          <w:b/>
          <w:bCs/>
        </w:rPr>
        <w:t xml:space="preserve">What it means for vendors:</w:t>
      </w:r>
      <w:r>
        <w:t xml:space="preserve"> </w:t>
      </w:r>
      <w:r>
        <w:t xml:space="preserve">vendors selling AI capabilities into</w:t>
      </w:r>
      <w:r>
        <w:t xml:space="preserve"> </w:t>
      </w:r>
      <w:r>
        <w:t xml:space="preserve">federal agencies are not directly bound by M-25-21, but an agency’s own</w:t>
      </w:r>
      <w:r>
        <w:t xml:space="preserve"> </w:t>
      </w:r>
      <w:r>
        <w:t xml:space="preserve">compliance posture increasingly depends on what inventory and governance</w:t>
      </w:r>
      <w:r>
        <w:t xml:space="preserve"> </w:t>
      </w:r>
      <w:r>
        <w:t xml:space="preserve">hooks a vendor’s AI product exposes — an accountable official cannot</w:t>
      </w:r>
      <w:r>
        <w:t xml:space="preserve"> </w:t>
      </w:r>
      <w:r>
        <w:t xml:space="preserve">govern what isn’t visible as a record.</w:t>
      </w:r>
    </w:p>
    <w:p>
      <w:pPr>
        <w:pStyle w:val="BodyText"/>
      </w:pPr>
      <w:r>
        <w:rPr>
          <w:b/>
          <w:bCs/>
        </w:rPr>
        <w:t xml:space="preserve">Read deeper:</w:t>
      </w:r>
      <w:r>
        <w:t xml:space="preserve"> </w:t>
      </w:r>
      <w:hyperlink r:id="rId36">
        <w:r>
          <w:rPr>
            <w:rStyle w:val="Hyperlink"/>
          </w:rPr>
          <w:t xml:space="preserve">Federal AI Governance — Submission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Readiness</w:t>
        </w:r>
      </w:hyperlink>
      <w:r>
        <w:t xml:space="preserve"> </w:t>
      </w:r>
      <w:r>
        <w:t xml:space="preserve">is the</w:t>
      </w:r>
      <w:r>
        <w:t xml:space="preserve"> </w:t>
      </w:r>
      <w:r>
        <w:t xml:space="preserve">dedicated treatment, including an honest coverage ledger of what’s</w:t>
      </w:r>
      <w:r>
        <w:t xml:space="preserve"> </w:t>
      </w:r>
      <w:r>
        <w:t xml:space="preserve">deployed versus proposed against M-25-21’s specific gates.</w:t>
      </w:r>
    </w:p>
    <w:bookmarkEnd w:id="37"/>
    <w:bookmarkStart w:id="38" w:name="where-to-read-deeper-by-mandate"/>
    <w:p>
      <w:pPr>
        <w:pStyle w:val="Heading2"/>
      </w:pPr>
      <w:r>
        <w:t xml:space="preserve">Where to read deeper, by mandate</w:t>
      </w:r>
    </w:p>
    <w:tbl>
      <w:tblPr>
        <w:tblStyle w:val="Table"/>
        <w:tblW w:type="pct" w:w="4959"/>
        <w:tblLayout w:type="fixed"/>
        <w:tblLook w:firstRow="1" w:lastRow="0" w:firstColumn="0" w:lastColumn="0" w:noHBand="0" w:noVBand="0" w:val="0020"/>
      </w:tblPr>
      <w:tblGrid>
        <w:gridCol w:w="1570"/>
        <w:gridCol w:w="1570"/>
        <w:gridCol w:w="471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Mandate Binds directly 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ompanion paper(s)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FedRAMP 20x CSP/vendor [</w:t>
            </w:r>
            <w:r>
              <w:t xml:space="preserve"> </w:t>
            </w:r>
            <w:r>
              <w:t xml:space="preserve">Consolidated Rules Archi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Federal Application Awar</w:t>
            </w:r>
            <w:r>
              <w:t xml:space="preserve"> </w:t>
            </w:r>
            <w:r>
              <w:t xml:space="preserve">tecture](modernization-j</w:t>
            </w:r>
          </w:p>
        </w:tc>
        <w:tc>
          <w:tcPr/>
          <w:p>
            <w:pPr>
              <w:pStyle w:val="Compact"/>
            </w:pPr>
            <w:r>
              <w:t xml:space="preserve">e Networking</w:t>
            </w:r>
            <w:r>
              <w:t xml:space="preserve"> </w:t>
            </w:r>
            <w:r>
              <w:t xml:space="preserve">ourney.md)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NIST SP 800-53 / 800-37</w:t>
            </w:r>
            <w:r>
              <w:t xml:space="preserve"> </w:t>
            </w:r>
            <w:r>
              <w:t xml:space="preserve">(RMF, ATO) citations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Agency Cited throughout</w:t>
            </w:r>
          </w:p>
        </w:tc>
        <w:tc>
          <w:tcPr/>
          <w:p>
            <w:pPr>
              <w:pStyle w:val="Compact"/>
            </w:pPr>
            <w:r>
              <w:t xml:space="preserve">this section by control number; see each paper’s 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CISA BOD 25-01 (SCuBA) A</w:t>
            </w:r>
            <w:r>
              <w:t xml:space="preserve"> </w:t>
            </w:r>
            <w:r>
              <w:t xml:space="preserve">Findings](bod-25-01-clos</w:t>
            </w:r>
            <w:r>
              <w:t xml:space="preserve"> </w:t>
            </w:r>
            <w:r>
              <w:t xml:space="preserve">Integration](scubagear-i</w:t>
            </w:r>
            <w:r>
              <w:t xml:space="preserve"> </w:t>
            </w:r>
            <w:r>
              <w:t xml:space="preserve">How They Relate](zta-scu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gency [Assessment Tools</w:t>
            </w:r>
            <w:r>
              <w:t xml:space="preserve"> </w:t>
            </w:r>
            <w:r>
              <w:t xml:space="preserve">e-before-assess.md), [Sc</w:t>
            </w:r>
            <w:r>
              <w:t xml:space="preserve"> </w:t>
            </w:r>
            <w:r>
              <w:t xml:space="preserve">ntegration-whitepaper.md</w:t>
            </w:r>
            <w:r>
              <w:t xml:space="preserve"> </w:t>
            </w:r>
            <w:r>
              <w:t xml:space="preserve">ba-relationship.md)</w:t>
            </w:r>
          </w:p>
        </w:tc>
        <w:tc>
          <w:tcPr/>
          <w:p>
            <w:pPr>
              <w:pStyle w:val="Compact"/>
            </w:pPr>
            <w:r>
              <w:t xml:space="preserve">vs. Closing BOD-25-01</w:t>
            </w:r>
            <w:r>
              <w:t xml:space="preserve"> </w:t>
            </w:r>
            <w:r>
              <w:t xml:space="preserve">ubaGear</w:t>
            </w:r>
            <w:r>
              <w:t xml:space="preserve"> </w:t>
            </w:r>
            <w:r>
              <w:t xml:space="preserve">), [ZTA and SCuBA 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CISA BOD 26-04 Agency No</w:t>
            </w:r>
            <w:r>
              <w:t xml:space="preserve"> </w:t>
            </w:r>
            <w:r>
              <w:t xml:space="preserve">(risk-based sequencing a</w:t>
            </w:r>
            <w:r>
              <w:t xml:space="preserve"> </w:t>
            </w:r>
            <w:r>
              <w:t xml:space="preserve">vulnerability Findings](</w:t>
            </w:r>
            <w:r>
              <w:t xml:space="preserve"> </w:t>
            </w:r>
            <w:r>
              <w:t xml:space="preserve">remediation)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dedicated paper yet in</w:t>
            </w:r>
            <w:r>
              <w:t xml:space="preserve"> </w:t>
            </w:r>
            <w:r>
              <w:t xml:space="preserve">rgument in [Assessment T</w:t>
            </w:r>
            <w:r>
              <w:t xml:space="preserve"> </w:t>
            </w:r>
            <w:r>
              <w:t xml:space="preserve">bod-25-01-close-before-a</w:t>
            </w:r>
          </w:p>
        </w:tc>
        <w:tc>
          <w:tcPr/>
          <w:p>
            <w:pPr>
              <w:pStyle w:val="Compact"/>
            </w:pPr>
            <w:r>
              <w:t xml:space="preserve">this section — see</w:t>
            </w:r>
            <w:r>
              <w:t xml:space="preserve"> </w:t>
            </w:r>
            <w:hyperlink w:anchor="bod-26-04">
              <w:r>
                <w:rPr>
                  <w:rStyle w:val="Hyperlink"/>
                </w:rPr>
                <w:t xml:space="preserve">§4</w:t>
              </w:r>
            </w:hyperlink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t xml:space="preserve">ools vs. Closing BOD-25-01</w:t>
            </w:r>
            <w:r>
              <w:t xml:space="preserve"> </w:t>
            </w:r>
            <w:r>
              <w:t xml:space="preserve">ssess.md)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CISA Zero Trust Agency (</w:t>
            </w:r>
            <w:r>
              <w:t xml:space="preserve"> </w:t>
            </w:r>
            <w:r>
              <w:t xml:space="preserve">Maturity Model v2.0 fram</w:t>
            </w:r>
            <w:r>
              <w:t xml:space="preserve"> </w:t>
            </w:r>
            <w:r>
              <w:t xml:space="preserve">Whole-Agency Scope](zero</w:t>
            </w:r>
            <w:r>
              <w:t xml:space="preserve"> </w:t>
            </w:r>
            <w:r>
              <w:t xml:space="preserve">Trust Governance](zero-t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measurement [Zero Trust</w:t>
            </w:r>
            <w:r>
              <w:t xml:space="preserve"> </w:t>
            </w:r>
            <w:r>
              <w:t xml:space="preserve">ework) Principles](zero-</w:t>
            </w:r>
            <w:r>
              <w:t xml:space="preserve"> </w:t>
            </w:r>
            <w:r>
              <w:t xml:space="preserve">-trust-whole-agency-unif</w:t>
            </w:r>
            <w:r>
              <w:t xml:space="preserve"> </w:t>
            </w:r>
            <w:r>
              <w:t xml:space="preserve">rust-governance-whitepap</w:t>
            </w:r>
          </w:p>
        </w:tc>
        <w:tc>
          <w:tcPr/>
          <w:p>
            <w:pPr>
              <w:pStyle w:val="Compact"/>
            </w:pPr>
            <w:r>
              <w:t xml:space="preserve">Governance</w:t>
            </w:r>
            <w:r>
              <w:t xml:space="preserve"> </w:t>
            </w:r>
            <w:r>
              <w:t xml:space="preserve">trust-governance-principles.md), [Zero Trust Requires</w:t>
            </w:r>
            <w:r>
              <w:t xml:space="preserve"> </w:t>
            </w:r>
            <w:r>
              <w:t xml:space="preserve">ication.md), [Zero</w:t>
            </w:r>
            <w:r>
              <w:t xml:space="preserve"> </w:t>
            </w:r>
            <w:r>
              <w:t xml:space="preserve">er.md)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OMB M-22-09 (Zero Trust</w:t>
            </w:r>
            <w:r>
              <w:t xml:space="preserve"> </w:t>
            </w:r>
            <w:r>
              <w:t xml:space="preserve">Strategy) Architecture](</w:t>
            </w:r>
            <w:r>
              <w:t xml:space="preserve"> </w:t>
            </w:r>
            <w:r>
              <w:t xml:space="preserve">[From Mainframe to Appli</w:t>
            </w:r>
            <w:r>
              <w:t xml:space="preserve"> </w:t>
            </w:r>
            <w:r>
              <w:t xml:space="preserve">Modernization](moderniza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Agency [Federal Applicat</w:t>
            </w:r>
            <w:r>
              <w:t xml:space="preserve"> </w:t>
            </w:r>
            <w:r>
              <w:t xml:space="preserve">modernization-journey.md</w:t>
            </w:r>
            <w:r>
              <w:t xml:space="preserve"> </w:t>
            </w:r>
            <w:r>
              <w:t xml:space="preserve">cation-Aware</w:t>
            </w:r>
            <w:r>
              <w:t xml:space="preserve"> </w:t>
            </w:r>
            <w:r>
              <w:t xml:space="preserve">tion-journey.md)</w:t>
            </w:r>
          </w:p>
        </w:tc>
        <w:tc>
          <w:tcPr/>
          <w:p>
            <w:pPr>
              <w:pStyle w:val="Compact"/>
            </w:pPr>
            <w:r>
              <w:t xml:space="preserve">ion Aware Networking</w:t>
            </w:r>
            <w:r>
              <w:t xml:space="preserve"> </w:t>
            </w:r>
            <w:r>
              <w:t xml:space="preserve">),</w:t>
            </w:r>
          </w:p>
        </w:tc>
      </w:tr>
      <w:tr>
        <w:tc>
          <w:tcPr/>
          <w:p>
            <w:pPr>
              <w:pStyle w:val="Compact"/>
            </w:pPr>
            <w:r>
              <w:t xml:space="preserve">OMB M-19-26 (TIC 3.0) Ag</w:t>
            </w:r>
            <w:r>
              <w:t xml:space="preserve"> </w:t>
            </w:r>
            <w:r>
              <w:t xml:space="preserve">DNS](infoblox-hybrid-dns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ency [SD-WAN vs. DIA Und</w:t>
            </w:r>
            <w:r>
              <w:t xml:space="preserve"> </w:t>
            </w:r>
            <w:r>
              <w:t xml:space="preserve">-unified-ddi.md)</w:t>
            </w:r>
          </w:p>
        </w:tc>
        <w:tc>
          <w:tcPr/>
          <w:p>
            <w:pPr>
              <w:pStyle w:val="Compact"/>
            </w:pPr>
            <w:r>
              <w:t xml:space="preserve">er TIC 3.0](tic3-sdwan-vs-dia.md), [Next Generation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OMB M-25-21 (Federal AI</w:t>
            </w:r>
            <w:r>
              <w:t xml:space="preserve"> </w:t>
            </w:r>
            <w:r>
              <w:t xml:space="preserve">governance) Readiness](f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Agency [Federal AI Gover</w:t>
            </w:r>
            <w:r>
              <w:t xml:space="preserve"> </w:t>
            </w:r>
            <w:r>
              <w:t xml:space="preserve">ederal-ai-governance-sub</w:t>
            </w:r>
          </w:p>
        </w:tc>
        <w:tc>
          <w:tcPr/>
          <w:p>
            <w:pPr>
              <w:pStyle w:val="Compact"/>
            </w:pPr>
            <w:r>
              <w:t xml:space="preserve">nance — Submission</w:t>
            </w:r>
            <w:r>
              <w:t xml:space="preserve"> </w:t>
            </w:r>
            <w:r>
              <w:t xml:space="preserve">mission-readiness.md)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Federal data-governance</w:t>
            </w:r>
            <w:r>
              <w:t xml:space="preserve"> </w:t>
            </w:r>
            <w:r>
              <w:t xml:space="preserve">mandates (Evidence Act,</w:t>
            </w:r>
            <w:r>
              <w:t xml:space="preserve"> </w:t>
            </w:r>
            <w:r>
              <w:t xml:space="preserve">Federal Data Strategy)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Agency [Federal SSOT Ali</w:t>
            </w:r>
          </w:p>
        </w:tc>
        <w:tc>
          <w:tcPr/>
          <w:p>
            <w:pPr>
              <w:pStyle w:val="Compact"/>
            </w:pPr>
            <w:r>
              <w:t xml:space="preserve">gnment](federal-ssot-alignment.md)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Closure-evidence Agency</w:t>
            </w:r>
            <w:r>
              <w:t xml:space="preserve"> </w:t>
            </w:r>
            <w:r>
              <w:t xml:space="preserve">standard across cloud Ti</w:t>
            </w:r>
            <w:r>
              <w:t xml:space="preserve"> </w:t>
            </w:r>
            <w:r>
              <w:t xml:space="preserve">platforms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(operational) [Ticket-to</w:t>
            </w:r>
            <w:r>
              <w:t xml:space="preserve"> </w:t>
            </w:r>
            <w:r>
              <w:t xml:space="preserve">cket-to-Human](ticket-to</w:t>
            </w:r>
          </w:p>
        </w:tc>
        <w:tc>
          <w:tcPr/>
          <w:p>
            <w:pPr>
              <w:pStyle w:val="Compact"/>
            </w:pPr>
            <w:r>
              <w:t xml:space="preserve">-Machine, Not</w:t>
            </w:r>
            <w:r>
              <w:t xml:space="preserve"> </w:t>
            </w:r>
            <w:r>
              <w:t xml:space="preserve">-machine-not-ticket-to-human.md)</w:t>
            </w:r>
          </w:p>
        </w:tc>
      </w:tr>
    </w:tbl>
    <w:p>
      <w:pPr>
        <w:pStyle w:val="BodyText"/>
      </w:pPr>
      <w:r>
        <w:t xml:space="preserve">For a fuller map of how all 27 papers in this section relate — not</w:t>
      </w:r>
      <w:r>
        <w:t xml:space="preserve"> </w:t>
      </w:r>
      <w:r>
        <w:t xml:space="preserve">just the mandate-focused ones above — start at the</w:t>
      </w:r>
      <w:r>
        <w:t xml:space="preserve"> </w:t>
      </w:r>
      <w:hyperlink r:id="rId31">
        <w:r>
          <w:rPr>
            <w:rStyle w:val="Hyperlink"/>
          </w:rPr>
          <w:t xml:space="preserve">Reading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Guide</w:t>
        </w:r>
      </w:hyperlink>
      <w:r>
        <w:t xml:space="preserve">.</w:t>
      </w:r>
    </w:p>
    <w:bookmarkEnd w:id="38"/>
    <w:bookmarkStart w:id="39" w:name="honest-limits-and-scope"/>
    <w:p>
      <w:pPr>
        <w:pStyle w:val="Heading2"/>
      </w:pPr>
      <w:r>
        <w:t xml:space="preserve">Honest limits and scope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This paper is a routing layer, not a primary source.</w:t>
      </w:r>
      <w:r>
        <w:t xml:space="preserve"> </w:t>
      </w:r>
      <w:r>
        <w:t xml:space="preserve">Every</w:t>
      </w:r>
      <w:r>
        <w:t xml:space="preserve"> </w:t>
      </w:r>
      <w:r>
        <w:t xml:space="preserve">specific control number, deadline, and mechanism claim above is</w:t>
      </w:r>
      <w:r>
        <w:t xml:space="preserve"> </w:t>
      </w:r>
      <w:r>
        <w:t xml:space="preserve">already cited, in more depth, by the companion paper it points to.</w:t>
      </w:r>
      <w:r>
        <w:t xml:space="preserve"> </w:t>
      </w:r>
      <w:r>
        <w:t xml:space="preserve">Where this page and a companion paper appear to disagree, the</w:t>
      </w:r>
      <w:r>
        <w:t xml:space="preserve"> </w:t>
      </w:r>
      <w:r>
        <w:t xml:space="preserve">companion paper is authoritative — this page should be corrected</w:t>
      </w:r>
      <w:r>
        <w:t xml:space="preserve"> </w:t>
      </w:r>
      <w:r>
        <w:t xml:space="preserve">to match it, not the reverse.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Eight mandates, not the whole federal compliance clock — named,</w:t>
      </w:r>
      <w:r>
        <w:rPr>
          <w:b/>
          <w:bCs/>
        </w:rPr>
        <w:t xml:space="preserve"> </w:t>
      </w:r>
      <w:r>
        <w:rPr>
          <w:b/>
          <w:bCs/>
        </w:rPr>
        <w:t xml:space="preserve">not silently dropped.</w:t>
      </w:r>
      <w:r>
        <w:t xml:space="preserve"> </w:t>
      </w:r>
      <w:r>
        <w:t xml:space="preserve">The Federal Compliance</w:t>
      </w:r>
      <w:r>
        <w:t xml:space="preserve"> </w:t>
      </w:r>
      <w:r>
        <w:t xml:space="preserve">(the compliance series) series this paper draws its FedRAMP timeline from tracks a</w:t>
      </w:r>
      <w:r>
        <w:t xml:space="preserve"> </w:t>
      </w:r>
      <w:r>
        <w:t xml:space="preserve">materially larger set: BOD 18-01 (DMARC/HTTPS), BOD 26-04</w:t>
      </w:r>
      <w:r>
        <w:t xml:space="preserve"> </w:t>
      </w:r>
      <w:r>
        <w:t xml:space="preserve">(risk-based remediation, revoking BOD 22-01 and BOD 19-02), BOD</w:t>
      </w:r>
      <w:r>
        <w:t xml:space="preserve"> </w:t>
      </w:r>
      <w:r>
        <w:t xml:space="preserve">23-01 (asset visibility), BOD 23-02 (management-interface exposure),</w:t>
      </w:r>
      <w:r>
        <w:t xml:space="preserve"> </w:t>
      </w:r>
      <w:r>
        <w:t xml:space="preserve">OMB M-26-14 (event logging), M-21-07 (IPv6), M-23-02 and NIST FIPS</w:t>
      </w:r>
      <w:r>
        <w:t xml:space="preserve"> </w:t>
      </w:r>
      <w:r>
        <w:t xml:space="preserve">203/204/205 (post-quantum cryptography, migration through 2035), and</w:t>
      </w:r>
      <w:r>
        <w:t xml:space="preserve"> </w:t>
      </w:r>
      <w:r>
        <w:t xml:space="preserve">NIST SP 800-53’s own biannual minor-release cadence. None of those</w:t>
      </w:r>
      <w:r>
        <w:t xml:space="preserve"> </w:t>
      </w:r>
      <w:r>
        <w:t xml:space="preserve">made the cut for this primer’s eight sections — they’re real,</w:t>
      </w:r>
      <w:r>
        <w:t xml:space="preserve"> </w:t>
      </w:r>
      <w:r>
        <w:t xml:space="preserve">agency-facing, and out of scope here on length grounds, not because</w:t>
      </w:r>
      <w:r>
        <w:t xml:space="preserve"> </w:t>
      </w:r>
      <w:r>
        <w:t xml:space="preserve">they don’t matter. See the the compliance series series’ Executive</w:t>
      </w:r>
      <w:r>
        <w:t xml:space="preserve"> </w:t>
      </w:r>
      <w:r>
        <w:t xml:space="preserve">Summary</w:t>
      </w:r>
      <w:r>
        <w:t xml:space="preserve"> </w:t>
      </w:r>
      <w:r>
        <w:t xml:space="preserve">for the fuller clock.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Scope is federal civilian, Moderate baseline.</w:t>
      </w:r>
      <w:r>
        <w:t xml:space="preserve"> </w:t>
      </w:r>
      <w:r>
        <w:t xml:space="preserve">DoD environments</w:t>
      </w:r>
      <w:r>
        <w:t xml:space="preserve"> </w:t>
      </w:r>
      <w:r>
        <w:t xml:space="preserve">(IL4/IL5), state and local government compliance regimes, and</w:t>
      </w:r>
      <w:r>
        <w:t xml:space="preserve"> </w:t>
      </w:r>
      <w:r>
        <w:t xml:space="preserve">non-federal commercial regulatory frameworks are out of scope.</w:t>
      </w:r>
      <w:r>
        <w:t xml:space="preserve"> </w:t>
      </w:r>
      <w:r>
        <w:t xml:space="preserve">Several mandates above (FedRAMP in particular) have GCC-High and</w:t>
      </w:r>
      <w:r>
        <w:t xml:space="preserve"> </w:t>
      </w:r>
      <w:r>
        <w:t xml:space="preserve">DoD-specific variants this paper does not address.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Dates are a snapshot.</w:t>
      </w:r>
      <w:r>
        <w:t xml:space="preserve"> </w:t>
      </w:r>
      <w:r>
        <w:t xml:space="preserve">The FedRAMP 20x timeline in §1 reflects</w:t>
      </w:r>
      <w:r>
        <w:t xml:space="preserve"> </w:t>
      </w:r>
      <w:r>
        <w:t xml:space="preserve">the Consolidated Rules as published June 25, 2026; OMB and CISA</w:t>
      </w:r>
      <w:r>
        <w:t xml:space="preserve"> </w:t>
      </w:r>
      <w:r>
        <w:t xml:space="preserve">guidance in this space has moved on shorter cycles than typical</w:t>
      </w:r>
      <w:r>
        <w:t xml:space="preserve"> </w:t>
      </w:r>
      <w:r>
        <w:t xml:space="preserve">review cadences before. Verify current dates directly against</w:t>
      </w:r>
      <w:r>
        <w:t xml:space="preserve"> </w:t>
      </w:r>
      <w:r>
        <w:t xml:space="preserve">FedRAMP.gov and CISA.gov before treating any date above as</w:t>
      </w:r>
      <w:r>
        <w:t xml:space="preserve"> </w:t>
      </w:r>
      <w:r>
        <w:t xml:space="preserve">load-bearing for a procurement or ATO decision.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This is not legal or compliance advice.</w:t>
      </w:r>
      <w:r>
        <w:t xml:space="preserve"> </w:t>
      </w:r>
      <w:r>
        <w:t xml:space="preserve">It is a navigational aid</w:t>
      </w:r>
      <w:r>
        <w:t xml:space="preserve"> </w:t>
      </w:r>
      <w:r>
        <w:t xml:space="preserve">for a specific, common confusion — which mandate binds which actor</w:t>
      </w:r>
      <w:r>
        <w:t xml:space="preserve"> </w:t>
      </w:r>
      <w:r>
        <w:t xml:space="preserve">— not a substitute for an agency’s own legal, compliance, or ISSO</w:t>
      </w:r>
      <w:r>
        <w:t xml:space="preserve"> </w:t>
      </w:r>
      <w:r>
        <w:t xml:space="preserve">review of its specific posture against any mandate named here.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The three-actor model is a simplification.</w:t>
      </w:r>
      <w:r>
        <w:t xml:space="preserve"> </w:t>
      </w:r>
      <w:r>
        <w:t xml:space="preserve">Some real</w:t>
      </w:r>
      <w:r>
        <w:t xml:space="preserve"> </w:t>
      </w:r>
      <w:r>
        <w:t xml:space="preserve">arrangements don’t fit neatly — an agency operating its own</w:t>
      </w:r>
      <w:r>
        <w:t xml:space="preserve"> </w:t>
      </w:r>
      <w:r>
        <w:t xml:space="preserve">GovCloud tenant is simultaneously acting in something closer to the</w:t>
      </w:r>
      <w:r>
        <w:t xml:space="preserve"> </w:t>
      </w:r>
      <w:r>
        <w:t xml:space="preserve">CSP role for the systems it hosts there, and a systems integrator</w:t>
      </w:r>
      <w:r>
        <w:t xml:space="preserve"> </w:t>
      </w:r>
      <w:r>
        <w:t xml:space="preserve">building on top of an authorized CSO for an agency client sits in a</w:t>
      </w:r>
      <w:r>
        <w:t xml:space="preserve"> </w:t>
      </w:r>
      <w:r>
        <w:t xml:space="preserve">fourth position this paper doesn’t model separately. Treat the</w:t>
      </w:r>
      <w:r>
        <w:t xml:space="preserve"> </w:t>
      </w:r>
      <w:r>
        <w:t xml:space="preserve">three-actor framing as the common case, not an exhaustive taxonomy.</w:t>
      </w:r>
    </w:p>
    <w:bookmarkEnd w:id="39"/>
    <w:bookmarkStart w:id="40" w:name="call-to-action"/>
    <w:p>
      <w:pPr>
        <w:pStyle w:val="Heading2"/>
      </w:pPr>
      <w:r>
        <w:t xml:space="preserve">Call to Action</w:t>
      </w:r>
    </w:p>
    <w:p>
      <w:pPr>
        <w:pStyle w:val="FirstParagraph"/>
      </w:pPr>
      <w:r>
        <w:t xml:space="preserve">None of this requires resolving every mandate at once. It requires</w:t>
      </w:r>
      <w:r>
        <w:t xml:space="preserve"> </w:t>
      </w:r>
      <w:r>
        <w:t xml:space="preserve">knowing, for each open compliance question, whether the answer starts</w:t>
      </w:r>
      <w:r>
        <w:t xml:space="preserve"> </w:t>
      </w:r>
      <w:r>
        <w:t xml:space="preserve">with</w:t>
      </w:r>
      <w:r>
        <w:t xml:space="preserve"> </w:t>
      </w:r>
      <w:r>
        <w:t xml:space="preserve">“we have to”</w:t>
      </w:r>
      <w:r>
        <w:t xml:space="preserve"> </w:t>
      </w:r>
      <w:r>
        <w:t xml:space="preserve">or</w:t>
      </w:r>
      <w:r>
        <w:t xml:space="preserve"> </w:t>
      </w:r>
      <w:r>
        <w:t xml:space="preserve">“our vendor has to”</w:t>
      </w:r>
      <w:r>
        <w:t xml:space="preserve"> </w:t>
      </w:r>
      <w:r>
        <w:t xml:space="preserve">— and reading the paper in</w:t>
      </w:r>
      <w:r>
        <w:t xml:space="preserve"> </w:t>
      </w:r>
      <w:r>
        <w:t xml:space="preserve">this section that actually goes deep on whichever one it turns out to</w:t>
      </w:r>
      <w:r>
        <w:t xml:space="preserve"> </w:t>
      </w:r>
      <w:r>
        <w:t xml:space="preserve">be.</w:t>
      </w:r>
    </w:p>
    <w:bookmarkEnd w:id="40"/>
    <w:bookmarkEnd w:id="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22" Target="bod-25-01-close-before-assess.md" TargetMode="External" /><Relationship Type="http://schemas.openxmlformats.org/officeDocument/2006/relationships/hyperlink" Id="rId36" Target="federal-ai-governance-submission-readiness.md" TargetMode="External" /><Relationship Type="http://schemas.openxmlformats.org/officeDocument/2006/relationships/hyperlink" Id="rId21" Target="https://cyber.dhs.gov/bod/25-01/" TargetMode="External" /><Relationship Type="http://schemas.openxmlformats.org/officeDocument/2006/relationships/hyperlink" Id="rId34" Target="infoblox-hybrid-dns-unified-ddi.md" TargetMode="External" /><Relationship Type="http://schemas.openxmlformats.org/officeDocument/2006/relationships/hyperlink" Id="rId18" Target="modernization-journey.md" TargetMode="External" /><Relationship Type="http://schemas.openxmlformats.org/officeDocument/2006/relationships/hyperlink" Id="rId31" Target="reading-guide.md" TargetMode="External" /><Relationship Type="http://schemas.openxmlformats.org/officeDocument/2006/relationships/hyperlink" Id="rId23" Target="scubagear-integration-whitepaper.md" TargetMode="External" /><Relationship Type="http://schemas.openxmlformats.org/officeDocument/2006/relationships/hyperlink" Id="rId33" Target="tic3-sdwan-vs-dia.md" TargetMode="External" /><Relationship Type="http://schemas.openxmlformats.org/officeDocument/2006/relationships/hyperlink" Id="rId27" Target="zero-trust-governance-principles.md" TargetMode="External" /><Relationship Type="http://schemas.openxmlformats.org/officeDocument/2006/relationships/hyperlink" Id="rId29" Target="zero-trust-governance-whitepaper.md" TargetMode="External" /><Relationship Type="http://schemas.openxmlformats.org/officeDocument/2006/relationships/hyperlink" Id="rId28" Target="zero-trust-whole-agency-unification.md" TargetMode="External" /><Relationship Type="http://schemas.openxmlformats.org/officeDocument/2006/relationships/hyperlink" Id="rId24" Target="zta-scuba-relationship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bod-25-01-close-before-assess.md" TargetMode="External" /><Relationship Type="http://schemas.openxmlformats.org/officeDocument/2006/relationships/hyperlink" Id="rId36" Target="federal-ai-governance-submission-readiness.md" TargetMode="External" /><Relationship Type="http://schemas.openxmlformats.org/officeDocument/2006/relationships/hyperlink" Id="rId21" Target="https://cyber.dhs.gov/bod/25-01/" TargetMode="External" /><Relationship Type="http://schemas.openxmlformats.org/officeDocument/2006/relationships/hyperlink" Id="rId34" Target="infoblox-hybrid-dns-unified-ddi.md" TargetMode="External" /><Relationship Type="http://schemas.openxmlformats.org/officeDocument/2006/relationships/hyperlink" Id="rId18" Target="modernization-journey.md" TargetMode="External" /><Relationship Type="http://schemas.openxmlformats.org/officeDocument/2006/relationships/hyperlink" Id="rId31" Target="reading-guide.md" TargetMode="External" /><Relationship Type="http://schemas.openxmlformats.org/officeDocument/2006/relationships/hyperlink" Id="rId23" Target="scubagear-integration-whitepaper.md" TargetMode="External" /><Relationship Type="http://schemas.openxmlformats.org/officeDocument/2006/relationships/hyperlink" Id="rId33" Target="tic3-sdwan-vs-dia.md" TargetMode="External" /><Relationship Type="http://schemas.openxmlformats.org/officeDocument/2006/relationships/hyperlink" Id="rId27" Target="zero-trust-governance-principles.md" TargetMode="External" /><Relationship Type="http://schemas.openxmlformats.org/officeDocument/2006/relationships/hyperlink" Id="rId29" Target="zero-trust-governance-whitepaper.md" TargetMode="External" /><Relationship Type="http://schemas.openxmlformats.org/officeDocument/2006/relationships/hyperlink" Id="rId28" Target="zero-trust-whole-agency-unification.md" TargetMode="External" /><Relationship Type="http://schemas.openxmlformats.org/officeDocument/2006/relationships/hyperlink" Id="rId24" Target="zta-scuba-relationship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2026-10-19T10:11:45Z</dcterms:created>
  <dcterms:modified xsi:type="dcterms:W3CDTF">2026-10-19T10:11:45Z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