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14" w:name="federal-ssot-alignment"/>
    <w:p>
      <w:pPr>
        <w:pStyle w:val="Heading1"/>
      </w:pPr>
      <w:r>
        <w:t xml:space="preserve">Federal SSOT Alignment</w:t>
      </w:r>
    </w:p>
    <w:p>
      <w:pPr>
        <w:pStyle w:val="FirstParagraph"/>
      </w:pPr>
      <w:r>
        <w:rPr>
          <w:b/>
          <w:bCs/>
        </w:rPr>
        <w:t xml:space="preserve">Single Source of Truth as the architectural response to federal data-governance obligations over the identity layer</w:t>
      </w:r>
    </w:p>
    <w:bookmarkStart w:id="9" w:name="problem-solution-ask"/>
    <w:p>
      <w:pPr>
        <w:pStyle w:val="Heading2"/>
      </w:pPr>
      <w:r>
        <w:t xml:space="preserve">Problem, solution, ask</w:t>
      </w:r>
    </w:p>
    <w:p>
      <w:pPr>
        <w:pStyle w:val="FirstParagraph"/>
      </w:pPr>
      <w:r>
        <w:rPr>
          <w:b/>
          <w:bCs/>
        </w:rPr>
        <w:t xml:space="preserve">Problem.</w:t>
      </w:r>
      <w:r>
        <w:t xml:space="preserve"> </w:t>
      </w:r>
      <w:r>
        <w:t xml:space="preserve">Agencies carry Evidence Act, OPEN Government Data Act, and data-governance obligations and an Active Directory to cloud identity migration imperative, and run them as two unrelated programs. No statute mandates Single Source of Truth — but a credible data inventory cannot be maintained from sources that disagree, and the identity layer beneath every one of those decisions is exactly what the migration is about to change.</w:t>
      </w:r>
    </w:p>
    <w:p>
      <w:pPr>
        <w:pStyle w:val="BodyText"/>
      </w:pPr>
      <w:r>
        <w:rPr>
          <w:b/>
          <w:bCs/>
        </w:rPr>
        <w:t xml:space="preserve">Solution.</w:t>
      </w:r>
      <w:r>
        <w:t xml:space="preserve"> </w:t>
      </w:r>
      <w:r>
        <w:t xml:space="preserve">Treat the identity namespace as the root of the SSOT hierarchy and the migration as a governance event. Designate authoritative origins, apply a drift taxonomy, and maintain a provenance chain so that evidence is a byproduct of the migration rather than assembled afterward.</w:t>
      </w:r>
    </w:p>
    <w:p>
      <w:pPr>
        <w:pStyle w:val="BodyText"/>
      </w:pPr>
      <w:r>
        <w:rPr>
          <w:b/>
          <w:bCs/>
        </w:rPr>
        <w:t xml:space="preserve">Ask.</w:t>
      </w:r>
      <w:r>
        <w:t xml:space="preserve"> </w:t>
      </w:r>
      <w:r>
        <w:t xml:space="preserve">Run the two programs as one. Adopt a phased posture (assess → govern → migrate → validate → operate) with governance in place before any identity object moves, and give the Chief Data Officer and the identity team a single, shared SSOT designation register.</w:t>
      </w:r>
    </w:p>
    <w:bookmarkEnd w:id="9"/>
    <w:bookmarkStart w:id="1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Federal civilian agencies carry data-governance obligations to maintain comprehensive data inventories, designate Chief Data Officers, and publish open-by-default in machine-readable form.</w:t>
      </w:r>
    </w:p>
    <w:p>
      <w:pPr>
        <w:pStyle w:val="BodyText"/>
      </w:pPr>
      <w:r>
        <w:rPr>
          <w:b/>
          <w:bCs/>
        </w:rPr>
        <w:t xml:space="preserve">None of those authorities mandates Single Source of Truth.</w:t>
      </w:r>
      <w:r>
        <w:t xml:space="preserve"> </w:t>
      </w:r>
      <w:r>
        <w:t xml:space="preserve">There is no federal SSOT mandate, no statutory requirement to designate authoritative systems of record, and no directive imposing one. SSOT is the architectural response a great many agencies adopt in order to satisfy those obligations. You cannot maintain a credible data inventory across fragmented operational environments without deciding which system is authoritative for a given fact, and you cannot publish open-by-default from sources that disagree.</w:t>
      </w:r>
    </w:p>
    <w:p>
      <w:pPr>
        <w:pStyle w:val="BodyText"/>
      </w:pPr>
      <w:r>
        <w:t xml:space="preserve">At the same time, those same agencies face a migration imperative: retiring on-premises Active Directory infrastructure in favor of a cloud identity platform, while remaining coherent with Zero Trust, TIC 3.0, NIST 800-63, and FedRAMP 20x. These two programs are almost universally treated as separate. They should not be.</w:t>
      </w:r>
    </w:p>
    <w:bookmarkEnd w:id="10"/>
    <w:bookmarkStart w:id="11" w:name="why-the-migration-is-a-governance-event"/>
    <w:p>
      <w:pPr>
        <w:pStyle w:val="Heading2"/>
      </w:pPr>
      <w:r>
        <w:t xml:space="preserve">Why the migration is a governance event</w:t>
      </w:r>
    </w:p>
    <w:p>
      <w:pPr>
        <w:pStyle w:val="FirstParagraph"/>
      </w:pPr>
      <w:r>
        <w:t xml:space="preserve">A conventional migration moves users. A governance-aware migration moves the entire identity namespace — and every dependency attached to it.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63"/>
        <w:gridCol w:w="2329"/>
        <w:gridCol w:w="372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Domain</w:t>
            </w:r>
          </w:p>
        </w:tc>
        <w:tc>
          <w:tcPr/>
          <w:p>
            <w:pPr>
              <w:pStyle w:val="Compact"/>
            </w:pPr>
            <w:r>
              <w:t xml:space="preserve">Artifact</w:t>
            </w:r>
          </w:p>
        </w:tc>
        <w:tc>
          <w:tcPr/>
          <w:p>
            <w:pPr>
              <w:pStyle w:val="Compact"/>
            </w:pPr>
            <w:r>
              <w:t xml:space="preserve">Migration risk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Identity</w:t>
            </w:r>
          </w:p>
        </w:tc>
        <w:tc>
          <w:tcPr/>
          <w:p>
            <w:pPr>
              <w:pStyle w:val="Compact"/>
            </w:pPr>
            <w:r>
              <w:t xml:space="preserve">User accounts, service principal names, service accounts</w:t>
            </w:r>
          </w:p>
        </w:tc>
        <w:tc>
          <w:tcPr/>
          <w:p>
            <w:pPr>
              <w:pStyle w:val="Compact"/>
            </w:pPr>
            <w:r>
              <w:t xml:space="preserve">Orphaned accounts, broken dependencies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Network</w:t>
            </w:r>
          </w:p>
        </w:tc>
        <w:tc>
          <w:tcPr/>
          <w:p>
            <w:pPr>
              <w:pStyle w:val="Compact"/>
            </w:pPr>
            <w:r>
              <w:t xml:space="preserve">DNS, DHCP, DFS namespaces</w:t>
            </w:r>
          </w:p>
        </w:tc>
        <w:tc>
          <w:tcPr/>
          <w:p>
            <w:pPr>
              <w:pStyle w:val="Compact"/>
            </w:pPr>
            <w:r>
              <w:t xml:space="preserve">Namespace drift, split-horizon DNS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Security</w:t>
            </w:r>
          </w:p>
        </w:tc>
        <w:tc>
          <w:tcPr/>
          <w:p>
            <w:pPr>
              <w:pStyle w:val="Compact"/>
            </w:pPr>
            <w:r>
              <w:t xml:space="preserve">PKI, RADIUS, certificate templates</w:t>
            </w:r>
          </w:p>
        </w:tc>
        <w:tc>
          <w:tcPr/>
          <w:p>
            <w:pPr>
              <w:pStyle w:val="Compact"/>
            </w:pPr>
            <w:r>
              <w:t xml:space="preserve">Broken authentication chains</w:t>
            </w:r>
          </w:p>
        </w:tc>
      </w:tr>
      <w:tr>
        <w:tc>
          <w:tcPr/>
          <w:p>
            <w:pPr>
              <w:pStyle w:val="Compact"/>
            </w:pPr>
            <w:r>
              <w:t xml:space="preserve">Policy</w:t>
            </w:r>
          </w:p>
        </w:tc>
        <w:tc>
          <w:tcPr/>
          <w:p>
            <w:pPr>
              <w:pStyle w:val="Compact"/>
            </w:pPr>
            <w:r>
              <w:t xml:space="preserve">Group Policy Objects, conditional access equivalents</w:t>
            </w:r>
          </w:p>
        </w:tc>
        <w:tc>
          <w:tcPr/>
          <w:p>
            <w:pPr>
              <w:pStyle w:val="Compact"/>
            </w:pPr>
            <w:r>
              <w:t xml:space="preserve">Policy gap</w:t>
            </w:r>
          </w:p>
        </w:tc>
      </w:tr>
      <w:tr>
        <w:tc>
          <w:tcPr/>
          <w:p>
            <w:pPr>
              <w:pStyle w:val="Compact"/>
            </w:pPr>
            <w:r>
              <w:t xml:space="preserve">Applications</w:t>
            </w:r>
          </w:p>
        </w:tc>
        <w:tc>
          <w:tcPr/>
          <w:p>
            <w:pPr>
              <w:pStyle w:val="Compact"/>
            </w:pPr>
            <w:r>
              <w:t xml:space="preserve">LDAP-dependent apps, legacy SSO</w:t>
            </w:r>
          </w:p>
        </w:tc>
        <w:tc>
          <w:tcPr/>
          <w:p>
            <w:pPr>
              <w:pStyle w:val="Compact"/>
            </w:pPr>
            <w:r>
              <w:t xml:space="preserve">Silent authentication failures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Devices</w:t>
            </w:r>
          </w:p>
        </w:tc>
        <w:tc>
          <w:tcPr/>
          <w:p>
            <w:pPr>
              <w:pStyle w:val="Compact"/>
            </w:pPr>
            <w:r>
              <w:t xml:space="preserve">Domain-joined endpoints, hybrid management</w:t>
            </w:r>
          </w:p>
        </w:tc>
        <w:tc>
          <w:tcPr/>
          <w:p>
            <w:pPr>
              <w:pStyle w:val="Compact"/>
            </w:pPr>
            <w:r>
              <w:t xml:space="preserve">Device trust drift</w:t>
            </w:r>
          </w:p>
        </w:tc>
      </w:tr>
    </w:tbl>
    <w:p>
      <w:pPr>
        <w:pStyle w:val="BodyText"/>
      </w:pPr>
      <w:r>
        <w:t xml:space="preserve">Conventional engagements manage this complexity manually. There is no shared, tamper-evident record of the pre-migration state, the migration events, or the post-migration compliance posture that survives the engagement. Each engagement starts from scratch. Findings are not reusable. Evidence is assembled retrospectively.</w:t>
      </w:r>
    </w:p>
    <w:p>
      <w:pPr>
        <w:pStyle w:val="BodyText"/>
      </w:pPr>
      <w:r>
        <w:t xml:space="preserve">This is exactly the class of SSOT failure that federal data governance programs exist to prevent — applied to the one domain those programs have historically excluded: directory and identity infrastructure.</w:t>
      </w:r>
    </w:p>
    <w:bookmarkEnd w:id="11"/>
    <w:bookmarkStart w:id="12" w:name="architectural-mechanisms"/>
    <w:p>
      <w:pPr>
        <w:pStyle w:val="Heading2"/>
      </w:pPr>
      <w:r>
        <w:t xml:space="preserve">Architectural mechanisms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Authoritative origin (golden record).</w:t>
      </w:r>
      <w:r>
        <w:t xml:space="preserve"> </w:t>
      </w:r>
      <w:r>
        <w:t xml:space="preserve">Every principal has a single authoritative representation. Downstream systems reference or synchronize to it; they do not maintain independent copies.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Provenance chain.</w:t>
      </w:r>
      <w:r>
        <w:t xml:space="preserve"> </w:t>
      </w:r>
      <w:r>
        <w:t xml:space="preserve">Every change is recorded — who made the change, from what source, at what time, under which policy authority. This is the identity-layer equivalent of data catalog lineage.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Drift detection.</w:t>
      </w:r>
      <w:r>
        <w:t xml:space="preserve"> </w:t>
      </w:r>
      <w:r>
        <w:t xml:space="preserve">Schema, semantic, provenance, authorization, identity, and single-source-of-truth contention classes, each with severity and a remediation contract.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Governance domains.</w:t>
      </w:r>
      <w:r>
        <w:t xml:space="preserve"> </w:t>
      </w:r>
      <w:r>
        <w:t xml:space="preserve">Identity, Authorization, Compliance, Migration, Evidence, and Operational — the ownership reading of the control planes.</w:t>
      </w:r>
    </w:p>
    <w:bookmarkEnd w:id="12"/>
    <w:bookmarkStart w:id="13" w:name="leadership-takeaway"/>
    <w:p>
      <w:pPr>
        <w:pStyle w:val="Heading2"/>
      </w:pPr>
      <w:r>
        <w:t xml:space="preserve">Leadership takeaway</w:t>
      </w:r>
    </w:p>
    <w:p>
      <w:pPr>
        <w:pStyle w:val="FirstParagraph"/>
      </w:pPr>
      <w:r>
        <w:t xml:space="preserve">Treat the identity namespace as the root of the SSOT hierarchy. Put governance in place before any identity object moves. Give the Chief Data Officer and the identity team a single shared designation register. Evidence becomes a byproduct of the migration rather than a retrospective assembly.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Cleaned extraction for project use. No internal branding or document identifiers. No statute mandates Single Source of Truth; it is the architectural response to obligations that do exist.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2026-10-19T10:11:45Z</dcterms:created>
  <dcterms:modified xsi:type="dcterms:W3CDTF">2026-10-19T10:11:45Z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header-includes">
    <vt:lpwstr/>
  </property>
  <property fmtid="{D5CDD505-2E9C-101B-9397-08002B2CF9AE}" pid="4" name="include-after">
    <vt:lpwstr/>
  </property>
  <property fmtid="{D5CDD505-2E9C-101B-9397-08002B2CF9AE}" pid="5" name="include-before">
    <vt:lpwstr/>
  </property>
  <property fmtid="{D5CDD505-2E9C-101B-9397-08002B2CF9AE}" pid="6" name="labels">
    <vt:lpwstr/>
  </property>
  <property fmtid="{D5CDD505-2E9C-101B-9397-08002B2CF9AE}" pid="7" name="toc-title">
    <vt:lpwstr>Table of contents</vt:lpwstr>
  </property>
</Properties>
</file>