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Changed at FedRAMP — and What Agencies Can Now Ask Microsoft For</w:t>
      </w:r>
    </w:p>
    <w:p>
      <w:pPr>
        <w:pStyle w:val="Subtitle"/>
      </w:pPr>
      <w:r>
        <w:t xml:space="preserve">The authorization boundary is gone, GCC was never the boundary agencies think it is, and Microsoft is now certifying GCC at High — three facts that change what is worth asking for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2026-09-01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7" w:name="X0e582e6ecf7778496d5a96bdcd26139178ddc98"/>
    <w:p>
      <w:pPr>
        <w:pStyle w:val="Heading1"/>
      </w:pPr>
      <w:r>
        <w:t xml:space="preserve">What Changed at FedRAMP — and What Agencies Can Now Ask Microsoft For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Federal reasoning about GCC has run on two wrong premises: that</w:t>
            </w:r>
            <w:r>
              <w:t xml:space="preserve"> </w:t>
            </w:r>
            <w:r>
              <w:t xml:space="preserve">FedRAMP has an authorization boundary (20x has none — it is a per-resource</w:t>
            </w:r>
            <w:r>
              <w:t xml:space="preserve"> </w:t>
            </w:r>
            <w:r>
              <w:t xml:space="preserve">data-flow test) and that GCC is a compliance perimeter that attenuates</w:t>
            </w:r>
            <w:r>
              <w:t xml:space="preserve"> </w:t>
            </w:r>
            <w:r>
              <w:t xml:space="preserve">features (it is the commercial footprint with individually published</w:t>
            </w:r>
            <w:r>
              <w:t xml:space="preserve"> </w:t>
            </w:r>
            <w:r>
              <w:t xml:space="preserve">exclusions). Meanwhile agencies verifiably lose the admin-centre network</w:t>
            </w:r>
            <w:r>
              <w:t xml:space="preserve"> </w:t>
            </w:r>
            <w:r>
              <w:t xml:space="preserve">observability layer and eight vendor-confirmed signals, and a second GCC</w:t>
            </w:r>
            <w:r>
              <w:t xml:space="preserve"> </w:t>
            </w:r>
            <w:r>
              <w:t xml:space="preserve">package at High is now in Initial Implementation.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Replace the boundary framing with a per-feature exclusion</w:t>
            </w:r>
            <w:r>
              <w:t xml:space="preserve"> </w:t>
            </w:r>
            <w:r>
              <w:t xml:space="preserve">register carrying a citation per row; use the documented exception path where</w:t>
            </w:r>
            <w:r>
              <w:t xml:space="preserve"> </w:t>
            </w:r>
            <w:r>
              <w:t xml:space="preserve">one exists (ExpressRoute is the template); make the scope arguments 20x now</w:t>
            </w:r>
            <w:r>
              <w:t xml:space="preserve"> </w:t>
            </w:r>
            <w:r>
              <w:t xml:space="preserve">permits — per-resource categorisation, the shared-responsibility test,</w:t>
            </w:r>
            <w:r>
              <w:t xml:space="preserve"> </w:t>
            </w:r>
            <w:r>
              <w:t xml:space="preserve">routine-recurring changes; and specify the capability rather than the closed</w:t>
            </w:r>
            <w:r>
              <w:t xml:space="preserve"> </w:t>
            </w:r>
            <w:r>
              <w:t xml:space="preserve">Network Provider Program badge.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The five evidenced asks to Microsoft in §7: a machine-readable GCC</w:t>
            </w:r>
            <w:r>
              <w:t xml:space="preserve"> </w:t>
            </w:r>
            <w:r>
              <w:t xml:space="preserve">exclusion list, a named exception path per feature, the network observability</w:t>
            </w:r>
            <w:r>
              <w:t xml:space="preserve"> </w:t>
            </w:r>
            <w:r>
              <w:t xml:space="preserve">layer restored to GCC (or the specific accreditation obstacle published), a</w:t>
            </w:r>
            <w:r>
              <w:t xml:space="preserve"> </w:t>
            </w:r>
            <w:r>
              <w:t xml:space="preserve">FedRAMP-compatible Trust Center with programmatic access, and a plain</w:t>
            </w:r>
            <w:r>
              <w:t xml:space="preserve"> </w:t>
            </w:r>
            <w:r>
              <w:t xml:space="preserve">statement of what the High package would and would not lift.</w:t>
            </w:r>
          </w:p>
          <w:p/>
        </w:tc>
      </w:tr>
    </w:tbl>
    <w:bookmarkStart w:id="15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Two things are true at once, and the federal identity and collaboration</w:t>
      </w:r>
      <w:r>
        <w:t xml:space="preserve"> </w:t>
      </w:r>
      <w:r>
        <w:t xml:space="preserve">community has been reasoning from neither.</w:t>
      </w:r>
    </w:p>
    <w:p>
      <w:pPr>
        <w:pStyle w:val="BodyText"/>
      </w:pPr>
      <w:r>
        <w:rPr>
          <w:b/>
          <w:bCs/>
        </w:rPr>
        <w:t xml:space="preserve">First: FedRAMP 20x has no authorization boundary.</w:t>
      </w:r>
      <w:r>
        <w:t xml:space="preserve"> </w:t>
      </w:r>
      <w:r>
        <w:t xml:space="preserve">The term appears zero</w:t>
      </w:r>
      <w:r>
        <w:t xml:space="preserve"> </w:t>
      </w:r>
      <w:r>
        <w:t xml:space="preserve">times in the Consolidated Rules for 2026. What replaced it is a data-flow test</w:t>
      </w:r>
      <w:r>
        <w:t xml:space="preserve"> </w:t>
      </w:r>
      <w:r>
        <w:t xml:space="preserve">— Minimum Assessment Scope — under which security category is a</w:t>
      </w:r>
      <w:r>
        <w:t xml:space="preserve"> </w:t>
      </w:r>
      <w:r>
        <w:rPr>
          <w:b/>
          <w:bCs/>
        </w:rPr>
        <w:t xml:space="preserve">per-resource</w:t>
      </w:r>
      <w:r>
        <w:t xml:space="preserve"> </w:t>
      </w:r>
      <w:r>
        <w:t xml:space="preserve">property rather than a single level stamped across an environment, and under</w:t>
      </w:r>
      <w:r>
        <w:t xml:space="preserve"> </w:t>
      </w:r>
      <w:r>
        <w:t xml:space="preserve">which software installed on agency systems outside a shared-responsibility model</w:t>
      </w:r>
      <w:r>
        <w:t xml:space="preserve"> </w:t>
      </w:r>
      <w:r>
        <w:t xml:space="preserve">is out of FedRAMP’s scope entirely.</w:t>
      </w:r>
    </w:p>
    <w:p>
      <w:pPr>
        <w:pStyle w:val="BodyText"/>
      </w:pPr>
      <w:r>
        <w:rPr>
          <w:b/>
          <w:bCs/>
        </w:rPr>
        <w:t xml:space="preserve">Second: GCC was never the boundary agencies think it is.</w:t>
      </w:r>
      <w:r>
        <w:t xml:space="preserve"> </w:t>
      </w:r>
      <w:r>
        <w:t xml:space="preserve">Microsoft does not</w:t>
      </w:r>
      <w:r>
        <w:t xml:space="preserve"> </w:t>
      </w:r>
      <w:r>
        <w:t xml:space="preserve">describe Government Community Cloud as a compliance perimeter that attenuates</w:t>
      </w:r>
      <w:r>
        <w:t xml:space="preserve"> </w:t>
      </w:r>
      <w:r>
        <w:t xml:space="preserve">features. It describes GCC as riding the worldwide service footprint on Azure</w:t>
      </w:r>
      <w:r>
        <w:t xml:space="preserve"> </w:t>
      </w:r>
      <w:r>
        <w:t xml:space="preserve">Commercial, with specific features excluded and</w:t>
      </w:r>
      <w:r>
        <w:t xml:space="preserve"> </w:t>
      </w:r>
      <w:r>
        <w:rPr>
          <w:b/>
          <w:bCs/>
        </w:rPr>
        <w:t xml:space="preserve">each exclusion published</w:t>
      </w:r>
      <w:r>
        <w:rPr>
          <w:b/>
          <w:bCs/>
        </w:rPr>
        <w:t xml:space="preserve"> </w:t>
      </w:r>
      <w:r>
        <w:rPr>
          <w:b/>
          <w:bCs/>
        </w:rPr>
        <w:t xml:space="preserve">individually</w:t>
      </w:r>
      <w:r>
        <w:t xml:space="preserve"> </w:t>
      </w:r>
      <w:r>
        <w:t xml:space="preserve">— running in both directions, since some features are available</w:t>
      </w:r>
      <w:r>
        <w:t xml:space="preserve"> </w:t>
      </w:r>
      <w:r>
        <w:t xml:space="preserve">in GCC and withheld from GCC High and DoD.</w:t>
      </w:r>
    </w:p>
    <w:p>
      <w:pPr>
        <w:pStyle w:val="BodyText"/>
      </w:pPr>
      <w:r>
        <w:t xml:space="preserve">Those two facts change the shape of the problem. A boundary cannot be negotiated.</w:t>
      </w:r>
      <w:r>
        <w:t xml:space="preserve"> </w:t>
      </w:r>
      <w:r>
        <w:t xml:space="preserve">A published list of per-feature exclusions can be inventoried, prioritised, and</w:t>
      </w:r>
      <w:r>
        <w:t xml:space="preserve"> </w:t>
      </w:r>
      <w:r>
        <w:t xml:space="preserve">argued feature by feature — and under 20x the scope argument an agency can make</w:t>
      </w:r>
      <w:r>
        <w:t xml:space="preserve"> </w:t>
      </w:r>
      <w:r>
        <w:t xml:space="preserve">about any one of them is materially different from the one Rev 5 allowed.</w:t>
      </w:r>
    </w:p>
    <w:p>
      <w:pPr>
        <w:pStyle w:val="BodyText"/>
      </w:pPr>
      <w:r>
        <w:rPr>
          <w:b/>
          <w:bCs/>
        </w:rPr>
        <w:t xml:space="preserve">A third thing is now in motion.</w:t>
      </w:r>
      <w:r>
        <w:t xml:space="preserve"> </w:t>
      </w:r>
      <w:r>
        <w:t xml:space="preserve">Microsoft has a second, identically-named</w:t>
      </w:r>
      <w:r>
        <w:t xml:space="preserve"> </w:t>
      </w:r>
      <w:r>
        <w:t xml:space="preserve">GCC package on the Marketplace at</w:t>
      </w:r>
      <w:r>
        <w:t xml:space="preserve"> </w:t>
      </w:r>
      <w:r>
        <w:rPr>
          <w:b/>
          <w:bCs/>
        </w:rPr>
        <w:t xml:space="preserve">Class D (High)</w:t>
      </w:r>
      <w:r>
        <w:t xml:space="preserve">, in Initial Implementation</w:t>
      </w:r>
      <w:r>
        <w:t xml:space="preserve"> </w:t>
      </w:r>
      <w:r>
        <w:t xml:space="preserve">alongside the Moderate one that ninety agencies actually run. If that is a High</w:t>
      </w:r>
      <w:r>
        <w:t xml:space="preserve"> </w:t>
      </w:r>
      <w:r>
        <w:t xml:space="preserve">certification for GCC — the straightforward reading, though FedRAMP does not</w:t>
      </w:r>
      <w:r>
        <w:t xml:space="preserve"> </w:t>
      </w:r>
      <w:r>
        <w:t xml:space="preserve">state it — then the assumed Moderate ceiling behind much federal</w:t>
      </w:r>
      <w:r>
        <w:t xml:space="preserve"> </w:t>
      </w:r>
      <w:r>
        <w:t xml:space="preserve">“we cannot have</w:t>
      </w:r>
      <w:r>
        <w:t xml:space="preserve"> </w:t>
      </w:r>
      <w:r>
        <w:t xml:space="preserve">that”</w:t>
      </w:r>
      <w:r>
        <w:t xml:space="preserve"> </w:t>
      </w:r>
      <w:r>
        <w:t xml:space="preserve">reasoning has a shelf life. It would</w:t>
      </w:r>
      <w:r>
        <w:t xml:space="preserve"> </w:t>
      </w:r>
      <w:r>
        <w:rPr>
          <w:b/>
          <w:bCs/>
        </w:rPr>
        <w:t xml:space="preserve">not</w:t>
      </w:r>
      <w:r>
        <w:t xml:space="preserve">, however, restore the</w:t>
      </w:r>
      <w:r>
        <w:t xml:space="preserve"> </w:t>
      </w:r>
      <w:r>
        <w:t xml:space="preserve">excluded features: impact level and feature availability are different axes, and</w:t>
      </w:r>
      <w:r>
        <w:t xml:space="preserve"> </w:t>
      </w:r>
      <w:r>
        <w:t xml:space="preserve">§5 explains why conflating them is how agencies end up waiting for a</w:t>
      </w:r>
      <w:r>
        <w:t xml:space="preserve"> </w:t>
      </w:r>
      <w:r>
        <w:t xml:space="preserve">certification to deliver something it was never going to.</w:t>
      </w:r>
    </w:p>
    <w:p>
      <w:pPr>
        <w:pStyle w:val="BodyText"/>
      </w:pPr>
      <w:r>
        <w:t xml:space="preserve">This paper states what changed, what agencies verifiably lose today, which</w:t>
      </w:r>
      <w:r>
        <w:t xml:space="preserve"> </w:t>
      </w:r>
      <w:r>
        <w:t xml:space="preserve">mechanisms actually exist for changing it, and — as important — which do not.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Relationship to existing papers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paper supplies the framework and vendor-documentation half of the</w:t>
            </w:r>
            <w:r>
              <w:t xml:space="preserve"> </w:t>
            </w:r>
            <w:r>
              <w:t xml:space="preserve">argument. The telemetry half lives in</w:t>
            </w:r>
            <w:r>
              <w:t xml:space="preserve"> </w:t>
            </w:r>
            <w:r>
              <w:t xml:space="preserve">B.1.3 - Rebuilding Boundary-Blocked Analytics,</w:t>
            </w:r>
            <w:r>
              <w:t xml:space="preserve"> </w:t>
            </w:r>
            <w:r>
              <w:t xml:space="preserve">which carries the per-signal rebuild analysis, and in</w:t>
            </w:r>
            <w:r>
              <w:t xml:space="preserve"> </w:t>
            </w:r>
            <w:r>
              <w:rPr>
                <w:rStyle w:val="VerbatimChar"/>
              </w:rPr>
              <w:t xml:space="preserve">gcc-moderate-telemetry-gaps.yaml</w:t>
            </w:r>
            <w:r>
              <w:t xml:space="preserve">, which remains authoritative over both. Only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eight vendor-confirmed</w:t>
            </w:r>
            <w:r>
              <w:t xml:space="preserve"> </w:t>
            </w:r>
            <w:r>
              <w:t xml:space="preserve">rows of that register are used here. The former</w:t>
            </w:r>
            <w:r>
              <w:t xml:space="preserve"> </w:t>
            </w:r>
            <w:r>
              <w:rPr>
                <w:rStyle w:val="VerbatimChar"/>
              </w:rPr>
              <w:t xml:space="preserve">event-logging-fedramp-boundary-limitations</w:t>
            </w:r>
            <w:r>
              <w:t xml:space="preserve"> </w:t>
            </w:r>
            <w:r>
              <w:t xml:space="preserve">paper, which synthesised these two</w:t>
            </w:r>
            <w:r>
              <w:t xml:space="preserve"> </w:t>
            </w:r>
            <w:r>
              <w:t xml:space="preserve">sources, was retired in favour of them.</w:t>
            </w:r>
          </w:p>
          <w:p/>
        </w:tc>
      </w:tr>
    </w:tbl>
    <w:bookmarkEnd w:id="15"/>
    <w:bookmarkStart w:id="20" w:name="what-changed-at-fedramp"/>
    <w:p>
      <w:pPr>
        <w:pStyle w:val="Heading2"/>
      </w:pPr>
      <w:r>
        <w:t xml:space="preserve">1. What changed at FedRAMP</w:t>
      </w:r>
    </w:p>
    <w:bookmarkStart w:id="16" w:name="the-boundary-is-not-a-shape-any-more"/>
    <w:p>
      <w:pPr>
        <w:pStyle w:val="Heading3"/>
      </w:pPr>
      <w:r>
        <w:t xml:space="preserve">1.1 The boundary is not a shape any more</w:t>
      </w:r>
    </w:p>
    <w:p>
      <w:pPr>
        <w:pStyle w:val="FirstParagraph"/>
      </w:pPr>
      <w:r>
        <w:t xml:space="preserve">Under Rev 5 the authorization boundary is a provider artifact: drawn by the</w:t>
      </w:r>
      <w:r>
        <w:t xml:space="preserve"> </w:t>
      </w:r>
      <w:r>
        <w:t xml:space="preserve">CSP, diagrammed in the SSP, with everything crossing it treated as an</w:t>
      </w:r>
      <w:r>
        <w:t xml:space="preserve"> </w:t>
      </w:r>
      <w:r>
        <w:t xml:space="preserve">interconnection. In the Consolidated Rules for 2026 that construct is absent.</w:t>
      </w:r>
      <w:r>
        <w:t xml:space="preserve"> </w:t>
      </w:r>
      <w:r>
        <w:t xml:space="preserve">“Authorization boundary”</w:t>
      </w:r>
      <w:r>
        <w:t xml:space="preserve"> </w:t>
      </w:r>
      <w:r>
        <w:t xml:space="preserve">occurs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times. Of the eight occurrences of</w:t>
      </w:r>
      <w:r>
        <w:t xml:space="preserve"> </w:t>
      </w:r>
      <w:r>
        <w:t xml:space="preserve">“boundary”</w:t>
      </w:r>
      <w:r>
        <w:t xml:space="preserve">, three describe the</w:t>
      </w:r>
      <w:r>
        <w:t xml:space="preserve"> </w:t>
      </w:r>
      <w:r>
        <w:rPr>
          <w:b/>
          <w:bCs/>
        </w:rPr>
        <w:t xml:space="preserve">agency’s</w:t>
      </w:r>
      <w:r>
        <w:t xml:space="preserve"> </w:t>
      </w:r>
      <w:r>
        <w:t xml:space="preserve">boundary —</w:t>
      </w:r>
      <w:r>
        <w:t xml:space="preserve"> </w:t>
      </w:r>
      <w:r>
        <w:rPr>
          <w:i/>
          <w:iCs/>
        </w:rPr>
        <w:t xml:space="preserve">“the federal information</w:t>
      </w:r>
      <w:r>
        <w:rPr>
          <w:i/>
          <w:iCs/>
        </w:rPr>
        <w:t xml:space="preserve"> </w:t>
      </w:r>
      <w:r>
        <w:rPr>
          <w:i/>
          <w:iCs/>
        </w:rPr>
        <w:t xml:space="preserve">system that includes the cloud service offering in its boundary”</w:t>
      </w:r>
      <w:r>
        <w:t xml:space="preserve"> </w:t>
      </w:r>
      <w:r>
        <w:t xml:space="preserve">— four are a</w:t>
      </w:r>
      <w:r>
        <w:t xml:space="preserve"> </w:t>
      </w:r>
      <w:r>
        <w:t xml:space="preserve">classification tag, and one is inherited NIST SP 800-53</w:t>
      </w:r>
      <w:r>
        <w:t xml:space="preserve"> </w:t>
      </w:r>
      <w:r>
        <w:rPr>
          <w:rStyle w:val="VerbatimChar"/>
        </w:rPr>
        <w:t xml:space="preserve">SR-08</w:t>
      </w:r>
      <w:r>
        <w:t xml:space="preserve"> </w:t>
      </w:r>
      <w:r>
        <w:t xml:space="preserve">supply-chain</w:t>
      </w:r>
      <w:r>
        <w:t xml:space="preserve"> </w:t>
      </w:r>
      <w:r>
        <w:t xml:space="preserve">guidance.</w:t>
      </w:r>
    </w:p>
    <w:p>
      <w:pPr>
        <w:pStyle w:val="BodyText"/>
      </w:pPr>
      <w:r>
        <w:t xml:space="preserve">FedRAMP tags exactly four rule families</w:t>
      </w:r>
      <w:r>
        <w:t xml:space="preserve"> </w:t>
      </w:r>
      <w:r>
        <w:rPr>
          <w:rStyle w:val="VerbatimChar"/>
        </w:rPr>
        <w:t xml:space="preserve">boundary</w:t>
      </w:r>
      <w:r>
        <w:t xml:space="preserve">:</w:t>
      </w:r>
      <w:r>
        <w:t xml:space="preserve"> </w:t>
      </w:r>
      <w:r>
        <w:rPr>
          <w:b/>
          <w:bCs/>
        </w:rPr>
        <w:t xml:space="preserve">MAS</w:t>
      </w:r>
      <w:r>
        <w:t xml:space="preserve"> </w:t>
      </w:r>
      <w:r>
        <w:t xml:space="preserve">(what is in the</w:t>
      </w:r>
      <w:r>
        <w:t xml:space="preserve"> </w:t>
      </w:r>
      <w:r>
        <w:t xml:space="preserve">offering),</w:t>
      </w:r>
      <w:r>
        <w:t xml:space="preserve"> </w:t>
      </w:r>
      <w:r>
        <w:rPr>
          <w:b/>
          <w:bCs/>
        </w:rPr>
        <w:t xml:space="preserve">UCM</w:t>
      </w:r>
      <w:r>
        <w:t xml:space="preserve"> </w:t>
      </w:r>
      <w:r>
        <w:t xml:space="preserve">(how data is protected inside it),</w:t>
      </w:r>
      <w:r>
        <w:t xml:space="preserve"> </w:t>
      </w:r>
      <w:r>
        <w:rPr>
          <w:b/>
          <w:bCs/>
        </w:rPr>
        <w:t xml:space="preserve">VDR</w:t>
      </w:r>
      <w:r>
        <w:t xml:space="preserve"> </w:t>
      </w:r>
      <w:r>
        <w:t xml:space="preserve">(how weaknesses are</w:t>
      </w:r>
      <w:r>
        <w:t xml:space="preserve"> </w:t>
      </w:r>
      <w:r>
        <w:t xml:space="preserve">handled),</w:t>
      </w:r>
      <w:r>
        <w:t xml:space="preserve"> </w:t>
      </w:r>
      <w:r>
        <w:rPr>
          <w:b/>
          <w:bCs/>
        </w:rPr>
        <w:t xml:space="preserve">CDS</w:t>
      </w:r>
      <w:r>
        <w:t xml:space="preserve"> </w:t>
      </w:r>
      <w:r>
        <w:t xml:space="preserve">(how the evidence reaches agencies). The boundary is now those</w:t>
      </w:r>
      <w:r>
        <w:t xml:space="preserve"> </w:t>
      </w:r>
      <w:r>
        <w:t xml:space="preserve">four obligations rather than a perimeter.</w:t>
      </w:r>
    </w:p>
    <w:bookmarkEnd w:id="16"/>
    <w:bookmarkStart w:id="17" w:name="X9e5092a80b2a5558f6f35ab15e1d65a3a81314c"/>
    <w:p>
      <w:pPr>
        <w:pStyle w:val="Heading3"/>
      </w:pPr>
      <w:r>
        <w:t xml:space="preserve">1.2 Minimum Assessment Scope, and the three provisions that matter</w:t>
      </w:r>
    </w:p>
    <w:p>
      <w:pPr>
        <w:pStyle w:val="FirstParagraph"/>
      </w:pPr>
      <w:r>
        <w:rPr>
          <w:rStyle w:val="VerbatimChar"/>
        </w:rPr>
        <w:t xml:space="preserve">MAS-CSO-IIR</w:t>
      </w:r>
      <w:r>
        <w:t xml:space="preserve"> </w:t>
      </w:r>
      <w:r>
        <w:t xml:space="preserve">defines the offering as the resources</w:t>
      </w:r>
      <w:r>
        <w:t xml:space="preserve"> </w:t>
      </w:r>
      <w:r>
        <w:rPr>
          <w:b/>
          <w:bCs/>
        </w:rPr>
        <w:t xml:space="preserve">“likely to handle federal</w:t>
      </w:r>
      <w:r>
        <w:rPr>
          <w:b/>
          <w:bCs/>
        </w:rPr>
        <w:t xml:space="preserve"> </w:t>
      </w:r>
      <w:r>
        <w:rPr>
          <w:b/>
          <w:bCs/>
        </w:rPr>
        <w:t xml:space="preserve">customer data or likely to impact the confidentiality, integrity, or</w:t>
      </w:r>
      <w:r>
        <w:rPr>
          <w:b/>
          <w:bCs/>
        </w:rPr>
        <w:t xml:space="preserve"> </w:t>
      </w:r>
      <w:r>
        <w:rPr>
          <w:b/>
          <w:bCs/>
        </w:rPr>
        <w:t xml:space="preserve">availability”</w:t>
      </w:r>
      <w:r>
        <w:t xml:space="preserve"> </w:t>
      </w:r>
      <w:r>
        <w:t xml:space="preserve">of it. That is a question about data lineage, not network</w:t>
      </w:r>
      <w:r>
        <w:t xml:space="preserve"> </w:t>
      </w:r>
      <w:r>
        <w:t xml:space="preserve">topology.</w:t>
      </w:r>
    </w:p>
    <w:p>
      <w:pPr>
        <w:pStyle w:val="BodyText"/>
      </w:pPr>
      <w:r>
        <w:t xml:space="preserve">Three consequences carry real weight:</w:t>
      </w:r>
    </w:p>
    <w:p>
      <w:pPr>
        <w:pStyle w:val="BodyText"/>
      </w:pPr>
      <w:r>
        <w:rPr>
          <w:b/>
          <w:bCs/>
        </w:rPr>
        <w:t xml:space="preserve">Security category is per-resource.</w:t>
      </w:r>
      <w:r>
        <w:t xml:space="preserve"> </w:t>
      </w:r>
      <w:r>
        <w:rPr>
          <w:rStyle w:val="VerbatimChar"/>
        </w:rPr>
        <w:t xml:space="preserve">MAS-CSO-FLO</w:t>
      </w:r>
      <w:r>
        <w:t xml:space="preserve"> </w:t>
      </w:r>
      <w:r>
        <w:t xml:space="preserve">requires flows and</w:t>
      </w:r>
      <w:r>
        <w:t xml:space="preserve"> </w:t>
      </w:r>
      <w:r>
        <w:t xml:space="preserve">categories for all resources and states that resources</w:t>
      </w:r>
      <w:r>
        <w:t xml:space="preserve"> </w:t>
      </w:r>
      <w:r>
        <w:rPr>
          <w:b/>
          <w:bCs/>
        </w:rPr>
        <w:t xml:space="preserve">“MAY vary by security</w:t>
      </w:r>
      <w:r>
        <w:rPr>
          <w:b/>
          <w:bCs/>
        </w:rPr>
        <w:t xml:space="preserve"> </w:t>
      </w:r>
      <w:r>
        <w:rPr>
          <w:b/>
          <w:bCs/>
        </w:rPr>
        <w:t xml:space="preserve">category.”</w:t>
      </w:r>
      <w:r>
        <w:t xml:space="preserve"> </w:t>
      </w:r>
      <w:r>
        <w:t xml:space="preserve">Rev 5 carried one impact level across an entire boundary, which</w:t>
      </w:r>
      <w:r>
        <w:t xml:space="preserve"> </w:t>
      </w:r>
      <w:r>
        <w:t xml:space="preserve">forced everything to the high-water mark. That single-level habit is the origin</w:t>
      </w:r>
      <w:r>
        <w:t xml:space="preserve"> </w:t>
      </w:r>
      <w:r>
        <w:t xml:space="preserve">of most</w:t>
      </w:r>
      <w:r>
        <w:t xml:space="preserve"> </w:t>
      </w:r>
      <w:r>
        <w:t xml:space="preserve">“we can’t have that feature”</w:t>
      </w:r>
      <w:r>
        <w:t xml:space="preserve"> </w:t>
      </w:r>
      <w:r>
        <w:t xml:space="preserve">reasoning in the federal M365 estate — and</w:t>
      </w:r>
      <w:r>
        <w:t xml:space="preserve"> </w:t>
      </w:r>
      <w:r>
        <w:t xml:space="preserve">20x does not require it.</w:t>
      </w:r>
    </w:p>
    <w:p>
      <w:pPr>
        <w:pStyle w:val="BodyText"/>
      </w:pPr>
      <w:r>
        <w:rPr>
          <w:b/>
          <w:bCs/>
        </w:rPr>
        <w:t xml:space="preserve">Metadata is in scope with its resource.</w:t>
      </w:r>
      <w:r>
        <w:t xml:space="preserve"> </w:t>
      </w:r>
      <w:r>
        <w:rPr>
          <w:rStyle w:val="VerbatimChar"/>
        </w:rPr>
        <w:t xml:space="preserve">MAS-CSO-MDI</w:t>
      </w:r>
      <w:r>
        <w:t xml:space="preserve"> </w:t>
      </w:r>
      <w:r>
        <w:t xml:space="preserve">requires metadata,</w:t>
      </w:r>
      <w:r>
        <w:t xml:space="preserve"> </w:t>
      </w:r>
      <w:r>
        <w:t xml:space="preserve">explicitly including metadata</w:t>
      </w:r>
      <w:r>
        <w:t xml:space="preserve"> </w:t>
      </w:r>
      <w:r>
        <w:rPr>
          <w:i/>
          <w:iCs/>
        </w:rPr>
        <w:t xml:space="preserve">about</w:t>
      </w:r>
      <w:r>
        <w:t xml:space="preserve"> </w:t>
      </w:r>
      <w:r>
        <w:t xml:space="preserve">federal customer data, to be included</w:t>
      </w:r>
      <w:r>
        <w:t xml:space="preserve"> </w:t>
      </w:r>
      <w:r>
        <w:t xml:space="preserve">whenever the resource is in scope. This tightened between the RFC-0005 draft and</w:t>
      </w:r>
      <w:r>
        <w:t xml:space="preserve"> </w:t>
      </w:r>
      <w:r>
        <w:t xml:space="preserve">the published rule.</w:t>
      </w:r>
    </w:p>
    <w:p>
      <w:pPr>
        <w:pStyle w:val="BodyText"/>
      </w:pPr>
      <w:r>
        <w:rPr>
          <w:b/>
          <w:bCs/>
        </w:rPr>
        <w:t xml:space="preserve">Agent and client software may be out of scope entirely.</w:t>
      </w:r>
      <w:r>
        <w:t xml:space="preserve"> </w:t>
      </w:r>
      <w:r>
        <w:t xml:space="preserve">Per</w:t>
      </w:r>
      <w:r>
        <w:t xml:space="preserve"> </w:t>
      </w:r>
      <w:r>
        <w:rPr>
          <w:rStyle w:val="VerbatimChar"/>
        </w:rPr>
        <w:t xml:space="preserve">MAS-CSO-IIR</w:t>
      </w:r>
      <w:r>
        <w:t xml:space="preserve"> </w:t>
      </w:r>
      <w:r>
        <w:t xml:space="preserve">guidance, software delivered for installation on agency systems and</w:t>
      </w:r>
      <w:r>
        <w:t xml:space="preserve"> </w:t>
      </w:r>
      <w:r>
        <w:rPr>
          <w:b/>
          <w:b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operated in a shared-responsibility model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“agents, application clients,</w:t>
      </w:r>
      <w:r>
        <w:rPr>
          <w:i/>
          <w:iCs/>
        </w:rPr>
        <w:t xml:space="preserve"> </w:t>
      </w:r>
      <w:r>
        <w:rPr>
          <w:i/>
          <w:iCs/>
        </w:rPr>
        <w:t xml:space="preserve">mobile applications”</w:t>
      </w:r>
      <w:r>
        <w:t xml:space="preserve"> </w:t>
      </w:r>
      <w:r>
        <w:t xml:space="preserve">— is outside FedRAMP’s scope under the FedRAMP</w:t>
      </w:r>
      <w:r>
        <w:t xml:space="preserve"> </w:t>
      </w:r>
      <w:r>
        <w:t xml:space="preserve">Certification Act. For an estate carrying Intune agents, Defender sensors and</w:t>
      </w:r>
      <w:r>
        <w:t xml:space="preserve"> </w:t>
      </w:r>
      <w:r>
        <w:t xml:space="preserve">the Entra Connect Sync engine, that is a scoping question with a published</w:t>
      </w:r>
      <w:r>
        <w:t xml:space="preserve"> </w:t>
      </w:r>
      <w:r>
        <w:t xml:space="preserve">answer path that most boundary documents never ask.</w:t>
      </w:r>
    </w:p>
    <w:bookmarkEnd w:id="17"/>
    <w:bookmarkStart w:id="18" w:name="change-control-replaces-re-authorization"/>
    <w:p>
      <w:pPr>
        <w:pStyle w:val="Heading3"/>
      </w:pPr>
      <w:r>
        <w:t xml:space="preserve">1.3 Change control replaces re-authorization</w:t>
      </w:r>
    </w:p>
    <w:p>
      <w:pPr>
        <w:pStyle w:val="FirstParagraph"/>
      </w:pPr>
      <w:r>
        <w:t xml:space="preserve">Significant Change Notification splits changes three ways, and the asymmetry is</w:t>
      </w:r>
      <w:r>
        <w:t xml:space="preserve"> </w:t>
      </w:r>
      <w:r>
        <w:t xml:space="preserve">the operational point: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Obligation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Routine recurring</w:t>
            </w:r>
          </w:p>
        </w:tc>
        <w:tc>
          <w:tcPr/>
          <w:p>
            <w:pPr>
              <w:pStyle w:val="Compact"/>
            </w:pPr>
            <w:r>
              <w:t xml:space="preserve">Regularly recurs as part of ongoing operations or vulnerability remediation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Exempt from notification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Adaptive</w:t>
            </w:r>
          </w:p>
        </w:tc>
        <w:tc>
          <w:tcPr/>
          <w:p>
            <w:pPr>
              <w:pStyle w:val="Compact"/>
            </w:pPr>
            <w:r>
              <w:t xml:space="preserve">Does not routinely recur; no substantive risk needing in-depth assessment</w:t>
            </w:r>
          </w:p>
        </w:tc>
        <w:tc>
          <w:tcPr/>
          <w:p>
            <w:pPr>
              <w:pStyle w:val="Compact"/>
            </w:pPr>
            <w:r>
              <w:t xml:space="preserve">Notify within</w:t>
            </w:r>
            <w:r>
              <w:t xml:space="preserve"> </w:t>
            </w:r>
            <w:r>
              <w:rPr>
                <w:b/>
                <w:bCs/>
              </w:rPr>
              <w:t xml:space="preserve">10 business days after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Transformative</w:t>
            </w:r>
          </w:p>
        </w:tc>
        <w:tc>
          <w:tcPr/>
          <w:p>
            <w:pPr>
              <w:pStyle w:val="Compact"/>
            </w:pPr>
            <w:r>
              <w:t xml:space="preserve">Introduces substantive risk likely to affect existing risk determinations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days before</w:t>
            </w:r>
            <w:r>
              <w:t xml:space="preserve"> </w:t>
            </w:r>
            <w:r>
              <w:t xml:space="preserve">plans ·</w:t>
            </w:r>
            <w:r>
              <w:t xml:space="preserve"> </w:t>
            </w:r>
            <w:r>
              <w:rPr>
                <w:b/>
                <w:bCs/>
              </w:rPr>
              <w:t xml:space="preserve">10 before</w:t>
            </w:r>
            <w:r>
              <w:t xml:space="preserve"> </w:t>
            </w:r>
            <w:r>
              <w:t xml:space="preserve">final ·</w:t>
            </w:r>
            <w:r>
              <w:t xml:space="preserve"> </w:t>
            </w:r>
            <w:r>
              <w:rPr>
                <w:b/>
                <w:bCs/>
              </w:rPr>
              <w:t xml:space="preserve">5 after</w:t>
            </w:r>
            <w:r>
              <w:t xml:space="preserve"> </w:t>
            </w:r>
            <w:r>
              <w:t xml:space="preserve">finishing ·</w:t>
            </w:r>
            <w:r>
              <w:t xml:space="preserve"> </w:t>
            </w:r>
            <w:r>
              <w:rPr>
                <w:b/>
                <w:bCs/>
              </w:rPr>
              <w:t xml:space="preserve">5 after</w:t>
            </w:r>
            <w:r>
              <w:t xml:space="preserve"> </w:t>
            </w:r>
            <w:r>
              <w:t xml:space="preserve">validation</w:t>
            </w:r>
          </w:p>
        </w:tc>
      </w:tr>
    </w:tbl>
    <w:p>
      <w:pPr>
        <w:pStyle w:val="BodyText"/>
      </w:pPr>
      <w:r>
        <w:t xml:space="preserve">Emergency changes may be executed first and notified retroactively. Every</w:t>
      </w:r>
      <w:r>
        <w:t xml:space="preserve"> </w:t>
      </w:r>
      <w:r>
        <w:t xml:space="preserve">notification must be</w:t>
      </w:r>
      <w:r>
        <w:t xml:space="preserve"> </w:t>
      </w:r>
      <w:r>
        <w:rPr>
          <w:b/>
          <w:bCs/>
        </w:rPr>
        <w:t xml:space="preserve">human- and machine-readable</w:t>
      </w:r>
      <w:r>
        <w:t xml:space="preserve">, with twelve months</w:t>
      </w:r>
      <w:r>
        <w:t xml:space="preserve"> </w:t>
      </w:r>
      <w:r>
        <w:t xml:space="preserve">retained.</w:t>
      </w:r>
    </w:p>
    <w:bookmarkEnd w:id="18"/>
    <w:bookmarkStart w:id="19" w:name="certification-data-becomes-an-api"/>
    <w:p>
      <w:pPr>
        <w:pStyle w:val="Heading3"/>
      </w:pPr>
      <w:r>
        <w:t xml:space="preserve">1.4 Certification data becomes an API</w:t>
      </w:r>
    </w:p>
    <w:p>
      <w:pPr>
        <w:pStyle w:val="FirstParagraph"/>
      </w:pPr>
      <w:r>
        <w:rPr>
          <w:rStyle w:val="VerbatimChar"/>
        </w:rPr>
        <w:t xml:space="preserve">CDS-TRC</w:t>
      </w:r>
      <w:r>
        <w:t xml:space="preserve"> </w:t>
      </w:r>
      <w:r>
        <w:t xml:space="preserve">introduces FedRAMP-Compatible Trust Centers: certification data shared</w:t>
      </w:r>
      <w:r>
        <w:t xml:space="preserve"> </w:t>
      </w:r>
      <w:r>
        <w:rPr>
          <w:i/>
          <w:iCs/>
        </w:rPr>
        <w:t xml:space="preserve">“without interruption”</w:t>
      </w:r>
      <w:r>
        <w:t xml:space="preserve">,</w:t>
      </w:r>
      <w:r>
        <w:t xml:space="preserve"> </w:t>
      </w:r>
      <w:r>
        <w:rPr>
          <w:b/>
          <w:bCs/>
        </w:rPr>
        <w:t xml:space="preserve">programmatic access mandatory</w:t>
      </w:r>
      <w:r>
        <w:t xml:space="preserve">, just-in-time</w:t>
      </w:r>
      <w:r>
        <w:t xml:space="preserve"> </w:t>
      </w:r>
      <w:r>
        <w:t xml:space="preserve">provisioning preferred over per-request approval, access logged for six months,</w:t>
      </w:r>
      <w:r>
        <w:t xml:space="preserve"> </w:t>
      </w:r>
      <w:r>
        <w:t xml:space="preserve">self-service provisioning encouraged. This is the provision that most rewards a</w:t>
      </w:r>
      <w:r>
        <w:t xml:space="preserve"> </w:t>
      </w:r>
      <w:r>
        <w:t xml:space="preserve">vendor with an evidence pipeline and most penalises one with a PDF library.</w:t>
      </w:r>
    </w:p>
    <w:bookmarkEnd w:id="19"/>
    <w:bookmarkEnd w:id="20"/>
    <w:bookmarkStart w:id="21" w:name="the-mis-diagnosis"/>
    <w:p>
      <w:pPr>
        <w:pStyle w:val="Heading2"/>
      </w:pPr>
      <w:r>
        <w:t xml:space="preserve">2. The mis-diagnosis</w:t>
      </w:r>
    </w:p>
    <w:p>
      <w:pPr>
        <w:pStyle w:val="FirstParagraph"/>
      </w:pPr>
      <w:r>
        <w:t xml:space="preserve">The prevailing federal framing treats GCC as a compliance boundary that</w:t>
      </w:r>
      <w:r>
        <w:t xml:space="preserve"> </w:t>
      </w:r>
      <w:r>
        <w:t xml:space="preserve">attenuates telemetry and withholds features for accreditation reasons. Microsoft</w:t>
      </w:r>
      <w:r>
        <w:t xml:space="preserve"> </w:t>
      </w:r>
      <w:r>
        <w:t xml:space="preserve">does not describe it that way anywhere in its Microsoft 365 enterprise</w:t>
      </w:r>
      <w:r>
        <w:t xml:space="preserve"> </w:t>
      </w:r>
      <w:r>
        <w:t xml:space="preserve">deployment documentation.</w:t>
      </w:r>
    </w:p>
    <w:p>
      <w:pPr>
        <w:pStyle w:val="BodyText"/>
      </w:pPr>
      <w:r>
        <w:t xml:space="preserve">What Microsoft documents is narrower and more useful: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Fact</w:t>
            </w:r>
          </w:p>
        </w:tc>
        <w:tc>
          <w:tcPr/>
          <w:p>
            <w:pPr>
              <w:pStyle w:val="Compact"/>
            </w:pPr>
            <w:r>
              <w:t xml:space="preserve">Consequence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GCC has</w:t>
            </w:r>
            <w:r>
              <w:t xml:space="preserve"> </w:t>
            </w:r>
            <w:r>
              <w:rPr>
                <w:b/>
                <w:bCs/>
              </w:rPr>
              <w:t xml:space="preserve">no separate endpoint list</w:t>
            </w:r>
            <w:r>
              <w:t xml:space="preserve"> </w:t>
            </w:r>
            <w:r>
              <w:t xml:space="preserve">— it is served by the Worldwide list, same FQDNs and IP ranges as commercial</w:t>
            </w:r>
          </w:p>
        </w:tc>
        <w:tc>
          <w:tcPr/>
          <w:p>
            <w:pPr>
              <w:pStyle w:val="Compact"/>
            </w:pPr>
            <w:r>
              <w:t xml:space="preserve">GCC is not a separate network regime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GCC pairs with Azure Commercial</w:t>
            </w:r>
            <w:r>
              <w:t xml:space="preserve">; GCC High and DoD pair with Azure Government</w:t>
            </w:r>
          </w:p>
        </w:tc>
        <w:tc>
          <w:tcPr/>
          <w:p>
            <w:pPr>
              <w:pStyle w:val="Compact"/>
            </w:pPr>
            <w:r>
              <w:t xml:space="preserve">The enclave is downstream of GCC, not at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“secure enclave”</w:t>
            </w:r>
            <w:r>
              <w:t xml:space="preserve"> </w:t>
            </w:r>
            <w:r>
              <w:t xml:space="preserve">framing is applied to GCC High and DoD explicitly, not to GCC</w:t>
            </w:r>
          </w:p>
        </w:tc>
        <w:tc>
          <w:tcPr/>
          <w:p>
            <w:pPr>
              <w:pStyle w:val="Compact"/>
            </w:pPr>
            <w:r>
              <w:t xml:space="preserve">GCC is the worldwide service with exclusions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Feature gaps are</w:t>
            </w:r>
            <w:r>
              <w:t xml:space="preserve"> </w:t>
            </w:r>
            <w:r>
              <w:rPr>
                <w:b/>
                <w:bCs/>
              </w:rPr>
              <w:t xml:space="preserve">published per feature</w:t>
            </w:r>
            <w:r>
              <w:t xml:space="preserve">, and run</w:t>
            </w:r>
            <w:r>
              <w:t xml:space="preserve"> </w:t>
            </w:r>
            <w:r>
              <w:rPr>
                <w:b/>
                <w:bCs/>
              </w:rPr>
              <w:t xml:space="preserve">both directions</w:t>
            </w:r>
            <w:r>
              <w:t xml:space="preserve"> </w:t>
            </w:r>
            <w:r>
              <w:t xml:space="preserve">— Windows release health is available in GCC but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in GCC High or DoD</w:t>
            </w:r>
          </w:p>
        </w:tc>
        <w:tc>
          <w:tcPr/>
          <w:p>
            <w:pPr>
              <w:pStyle w:val="Compact"/>
            </w:pPr>
            <w:r>
              <w:t xml:space="preserve">There is no monotonic ladder of restriction</w:t>
            </w:r>
          </w:p>
        </w:tc>
      </w:tr>
    </w:tbl>
    <w:p>
      <w:pPr>
        <w:pStyle w:val="BodyText"/>
      </w:pPr>
      <w:r>
        <w:t xml:space="preserve">This matters because the two diagnoses have different remedies. If GCC is a</w:t>
      </w:r>
      <w:r>
        <w:t xml:space="preserve"> </w:t>
      </w:r>
      <w:r>
        <w:t xml:space="preserve">boundary, the only move is to accept it or leave for GCC High — and GCC High is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restricted on several axes, not fewer. If GCC is the worldwide footprint</w:t>
      </w:r>
      <w:r>
        <w:t xml:space="preserve"> </w:t>
      </w:r>
      <w:r>
        <w:t xml:space="preserve">with an enumerated exclusion list, then each exclusion is a separate question</w:t>
      </w:r>
      <w:r>
        <w:t xml:space="preserve"> </w:t>
      </w:r>
      <w:r>
        <w:t xml:space="preserve">with a separate answer, and some of those answers are obtainable.</w:t>
      </w:r>
    </w:p>
    <w:p>
      <w:pPr>
        <w:pStyle w:val="BodyText"/>
      </w:pPr>
      <w:r>
        <w:t xml:space="preserve">The papers arguing the boundary case do not need the stronger claim. The</w:t>
      </w:r>
      <w:r>
        <w:t xml:space="preserve"> </w:t>
      </w:r>
      <w:r>
        <w:t xml:space="preserve">documented per-feature exclusions are better evidence than any inference drawn</w:t>
      </w:r>
      <w:r>
        <w:t xml:space="preserve"> </w:t>
      </w:r>
      <w:r>
        <w:t xml:space="preserve">from a boundary model.</w:t>
      </w:r>
    </w:p>
    <w:bookmarkEnd w:id="21"/>
    <w:bookmarkStart w:id="24" w:name="what-agencies-verifiably-lose-today"/>
    <w:p>
      <w:pPr>
        <w:pStyle w:val="Heading2"/>
      </w:pPr>
      <w:r>
        <w:t xml:space="preserve">3. What agencies verifiably lose today</w:t>
      </w:r>
    </w:p>
    <w:p>
      <w:pPr>
        <w:pStyle w:val="FirstParagraph"/>
      </w:pPr>
      <w:r>
        <w:t xml:space="preserve">The most consequential single exclusion is not a telemetry nuance. It is the</w:t>
      </w:r>
      <w:r>
        <w:t xml:space="preserve"> </w:t>
      </w:r>
      <w:r>
        <w:t xml:space="preserve">entire per-location network observability layer of the Microsoft 365 admin</w:t>
      </w:r>
      <w:r>
        <w:t xml:space="preserve"> </w:t>
      </w:r>
      <w:r>
        <w:t xml:space="preserve">centre, which Microsoft states is unavailable to</w:t>
      </w:r>
      <w:r>
        <w:t xml:space="preserve"> </w:t>
      </w:r>
      <w:r>
        <w:rPr>
          <w:b/>
          <w:bCs/>
        </w:rPr>
        <w:t xml:space="preserve">GCC, GCC High and DoD</w:t>
      </w:r>
      <w:r>
        <w:t xml:space="preserve"> </w:t>
      </w:r>
      <w:r>
        <w:t xml:space="preserve">tenants alike.</w:t>
      </w:r>
    </w:p>
    <w:p>
      <w:pPr>
        <w:pStyle w:val="BodyText"/>
      </w:pPr>
      <w:r>
        <w:t xml:space="preserve">Commercial tenants receive, at no additional cost: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Per-location network assessment scores</w:t>
      </w:r>
      <w:r>
        <w:t xml:space="preserve">, 0–100, daily, against an 80%</w:t>
      </w:r>
      <w:r>
        <w:t xml:space="preserve"> </w:t>
      </w:r>
      <w:r>
        <w:t xml:space="preserve">healthy baseline</w:t>
      </w:r>
    </w:p>
    <w:p>
      <w:pPr>
        <w:pStyle w:val="Compact"/>
        <w:numPr>
          <w:ilvl w:val="0"/>
          <w:numId w:val="100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egress-distance insight</w:t>
      </w:r>
      <w:r>
        <w:t xml:space="preserve"> </w:t>
      </w:r>
      <w:r>
        <w:t xml:space="preserve">flagging locations beyond roughly 500 miles or</w:t>
      </w:r>
      <w:r>
        <w:t xml:space="preserve"> </w:t>
      </w:r>
      <w:r>
        <w:t xml:space="preserve">25 ms from their optimal egress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Teams and SharePoint performance thresholds</w:t>
      </w:r>
      <w:r>
        <w:t xml:space="preserve">, and a calculated latency</w:t>
      </w:r>
      <w:r>
        <w:t xml:space="preserve"> </w:t>
      </w:r>
      <w:r>
        <w:t xml:space="preserve">improvement to the optimal Exchange front door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TLS-interception alert</w:t>
      </w:r>
      <w:r>
        <w:t xml:space="preserve"> </w:t>
      </w:r>
      <w:r>
        <w:t xml:space="preserve">raised when 30% or more of a location’s requests</w:t>
      </w:r>
      <w:r>
        <w:t xml:space="preserve"> </w:t>
      </w:r>
      <w:r>
        <w:t xml:space="preserve">show network intermediation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Comparative per-provider scoring</w:t>
      </w:r>
      <w:r>
        <w:t xml:space="preserve"> </w:t>
      </w:r>
      <w:r>
        <w:t xml:space="preserve">— named transport and SASE providers</w:t>
      </w:r>
      <w:r>
        <w:t xml:space="preserve"> </w:t>
      </w:r>
      <w:r>
        <w:t xml:space="preserve">ranked per location on Teams performance, SharePoint throughput, Exchange</w:t>
      </w:r>
      <w:r>
        <w:t xml:space="preserve"> </w:t>
      </w:r>
      <w:r>
        <w:t xml:space="preserve">latency, packet loss and jitter, classified by provider type including</w:t>
      </w:r>
      <w:r>
        <w:t xml:space="preserve"> </w:t>
      </w:r>
      <w:r>
        <w:rPr>
          <w:i/>
          <w:iCs/>
        </w:rPr>
        <w:t xml:space="preserve">“Overlay — VPN, Cloud Proxy, SD-WAN, and SASE”</w:t>
      </w:r>
    </w:p>
    <w:p>
      <w:pPr>
        <w:pStyle w:val="FirstParagraph"/>
      </w:pPr>
      <w:r>
        <w:t xml:space="preserve">An agency evaluating a SASE or transport provider in a commercial tenant has</w:t>
      </w:r>
      <w:r>
        <w:t xml:space="preserve"> </w:t>
      </w:r>
      <w:r>
        <w:t xml:space="preserve">vendor-produced comparative evidence available in its own admin centre. The same</w:t>
      </w:r>
      <w:r>
        <w:t xml:space="preserve"> </w:t>
      </w:r>
      <w:r>
        <w:t xml:space="preserve">agency in GCC has none of it, and must fund an independent measurement capability</w:t>
      </w:r>
      <w:r>
        <w:t xml:space="preserve"> </w:t>
      </w:r>
      <w:r>
        <w:t xml:space="preserve">to reach a decision commercial enterprises make from a dashboard.</w:t>
      </w:r>
    </w:p>
    <w:p>
      <w:pPr>
        <w:pStyle w:val="BodyText"/>
      </w:pPr>
      <w:r>
        <w:t xml:space="preserve">Alongside that, eight further signals are vendor-confirmed as unavailable in the</w:t>
      </w:r>
      <w:r>
        <w:t xml:space="preserve"> </w:t>
      </w:r>
      <w:r>
        <w:t xml:space="preserve">substrate’s own register — seven Adoption Score categories and Microsoft Informed</w:t>
      </w:r>
      <w:r>
        <w:t xml:space="preserve"> </w:t>
      </w:r>
      <w:r>
        <w:t xml:space="preserve">Network Routing path metrics — and the Microsoft 365 CDN is unavailable in all US</w:t>
      </w:r>
      <w:r>
        <w:t xml:space="preserve"> </w:t>
      </w:r>
      <w:r>
        <w:t xml:space="preserve">Government, China and Germany clouds.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confirmed rows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rStyle w:val="VerbatimChar"/>
              </w:rPr>
              <w:t xml:space="preserve">gcc-moderate-telemetry-gaps.yaml</w:t>
            </w:r>
            <w:r>
              <w:t xml:space="preserve"> </w:t>
            </w:r>
            <w:r>
              <w:t xml:space="preserve">carries 26 rows, of which</w:t>
            </w:r>
            <w:r>
              <w:t xml:space="preserve"> </w:t>
            </w:r>
            <w:r>
              <w:rPr>
                <w:b/>
                <w:bCs/>
              </w:rPr>
              <w:t xml:space="preserve">eight are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vendor-confirmed</w:t>
            </w:r>
            <w:r>
              <w:t xml:space="preserve">; fifteen are the author’s own inference and three are</w:t>
            </w:r>
            <w:r>
              <w:t xml:space="preserve"> </w:t>
            </w:r>
            <w:r>
              <w:t xml:space="preserve">retention- or access-limited rather than absent. Only the confirmed rows and the</w:t>
            </w:r>
            <w:r>
              <w:t xml:space="preserve"> </w:t>
            </w:r>
            <w:r>
              <w:t xml:space="preserve">admin-centre exclusion above are used in this paper. An argument built on the</w:t>
            </w:r>
            <w:r>
              <w:t xml:space="preserve"> </w:t>
            </w:r>
            <w:r>
              <w:t xml:space="preserve">inferred rows will not survive a reviewer holding the Microsoft documentation.</w:t>
            </w:r>
          </w:p>
          <w:p/>
        </w:tc>
      </w:tr>
    </w:tbl>
    <w:bookmarkEnd w:id="24"/>
    <w:bookmarkStart w:id="29" w:name="what-agencies-can-actually-do"/>
    <w:p>
      <w:pPr>
        <w:pStyle w:val="Heading2"/>
      </w:pPr>
      <w:r>
        <w:t xml:space="preserve">4. What agencies can actually do</w:t>
      </w:r>
    </w:p>
    <w:bookmarkStart w:id="25" w:name="X90527755510899ad4b3c48f9c151ba88d264f1e"/>
    <w:p>
      <w:pPr>
        <w:pStyle w:val="Heading3"/>
      </w:pPr>
      <w:r>
        <w:t xml:space="preserve">4.1 Inventory the exclusions feature by feature</w:t>
      </w:r>
    </w:p>
    <w:p>
      <w:pPr>
        <w:pStyle w:val="FirstParagraph"/>
      </w:pPr>
      <w:r>
        <w:t xml:space="preserve">Because exclusions are published individually and run in both directions, the</w:t>
      </w:r>
      <w:r>
        <w:t xml:space="preserve"> </w:t>
      </w:r>
      <w:r>
        <w:t xml:space="preserve">first move is a per-feature register with a citation per row, not a boundary</w:t>
      </w:r>
      <w:r>
        <w:t xml:space="preserve"> </w:t>
      </w:r>
      <w:r>
        <w:t xml:space="preserve">model. This is the difference between</w:t>
      </w:r>
      <w:r>
        <w:t xml:space="preserve"> </w:t>
      </w:r>
      <w:r>
        <w:t xml:space="preserve">“GCC withholds telemetry”</w:t>
      </w:r>
      <w:r>
        <w:t xml:space="preserve"> </w:t>
      </w:r>
      <w:r>
        <w:t xml:space="preserve">— which a</w:t>
      </w:r>
      <w:r>
        <w:t xml:space="preserve"> </w:t>
      </w:r>
      <w:r>
        <w:t xml:space="preserve">Microsoft reader will reject — and</w:t>
      </w:r>
      <w:r>
        <w:t xml:space="preserve"> </w:t>
      </w:r>
      <w:r>
        <w:t xml:space="preserve">“the admin-centre Network connectivity layer</w:t>
      </w:r>
      <w:r>
        <w:t xml:space="preserve"> </w:t>
      </w:r>
      <w:r>
        <w:t xml:space="preserve">is documented as unavailable in GCC, GCC High and DoD,”</w:t>
      </w:r>
      <w:r>
        <w:t xml:space="preserve"> </w:t>
      </w:r>
      <w:r>
        <w:t xml:space="preserve">which they cannot.</w:t>
      </w:r>
    </w:p>
    <w:bookmarkEnd w:id="25"/>
    <w:bookmarkStart w:id="26" w:name="X257bd3c6ecba6585f0adcac91f62136c890b255"/>
    <w:p>
      <w:pPr>
        <w:pStyle w:val="Heading3"/>
      </w:pPr>
      <w:r>
        <w:t xml:space="preserve">4.2 Use the documented exception process where one exists</w:t>
      </w:r>
    </w:p>
    <w:p>
      <w:pPr>
        <w:pStyle w:val="FirstParagraph"/>
      </w:pPr>
      <w:r>
        <w:t xml:space="preserve">ExpressRoute for Microsoft 365 is the worked example, and it cuts both ways.</w:t>
      </w:r>
      <w:r>
        <w:t xml:space="preserve"> </w:t>
      </w:r>
      <w:r>
        <w:t xml:space="preserve">Microsoft states it</w:t>
      </w:r>
      <w:r>
        <w:t xml:space="preserve"> </w:t>
      </w:r>
      <w:r>
        <w:rPr>
          <w:b/>
          <w:bCs/>
        </w:rPr>
        <w:t xml:space="preserve">does not recommend</w:t>
      </w:r>
      <w:r>
        <w:t xml:space="preserve"> </w:t>
      </w:r>
      <w:r>
        <w:t xml:space="preserve">ExpressRoute for Microsoft 365,</w:t>
      </w:r>
      <w:r>
        <w:t xml:space="preserve"> </w:t>
      </w:r>
      <w:r>
        <w:t xml:space="preserve">requires authorization, and grants it</w:t>
      </w:r>
      <w:r>
        <w:t xml:space="preserve"> </w:t>
      </w:r>
      <w:r>
        <w:rPr>
          <w:b/>
          <w:bCs/>
        </w:rPr>
        <w:t xml:space="preserve">only where a customer’s regulatory</w:t>
      </w:r>
      <w:r>
        <w:rPr>
          <w:b/>
          <w:bCs/>
        </w:rPr>
        <w:t xml:space="preserve"> </w:t>
      </w:r>
      <w:r>
        <w:rPr>
          <w:b/>
          <w:bCs/>
        </w:rPr>
        <w:t xml:space="preserve">requirement mandates direct connectivity</w:t>
      </w:r>
      <w:r>
        <w:t xml:space="preserve"> </w:t>
      </w:r>
      <w:r>
        <w:t xml:space="preserve">— asking for the text excerpt and web</w:t>
      </w:r>
      <w:r>
        <w:t xml:space="preserve"> </w:t>
      </w:r>
      <w:r>
        <w:t xml:space="preserve">link to that regulation. Unauthorized subscriptions are blocked from creating</w:t>
      </w:r>
      <w:r>
        <w:t xml:space="preserve"> </w:t>
      </w:r>
      <w:r>
        <w:t xml:space="preserve">Microsoft 365 route filters.</w:t>
      </w:r>
    </w:p>
    <w:p>
      <w:pPr>
        <w:pStyle w:val="BodyText"/>
      </w:pPr>
      <w:r>
        <w:t xml:space="preserve">Two things follow. Federal readers assume FedRAMP or FISMA supplies that hook;</w:t>
      </w:r>
      <w:r>
        <w:t xml:space="preserve"> </w:t>
      </w:r>
      <w:r>
        <w:rPr>
          <w:b/>
          <w:bCs/>
        </w:rPr>
        <w:t xml:space="preserve">neither does</w:t>
      </w:r>
      <w:r>
        <w:t xml:space="preserve">, and an agency that writes ExpressRoute into an EIS task order</w:t>
      </w:r>
      <w:r>
        <w:t xml:space="preserve"> </w:t>
      </w:r>
      <w:r>
        <w:t xml:space="preserve">without the authorization in hand will discover the gate afterwards. But the</w:t>
      </w:r>
      <w:r>
        <w:t xml:space="preserve"> </w:t>
      </w:r>
      <w:r>
        <w:t xml:space="preserve">process itself is the template for how a feature-level ask is made: a named</w:t>
      </w:r>
      <w:r>
        <w:t xml:space="preserve"> </w:t>
      </w:r>
      <w:r>
        <w:t xml:space="preserve">regulatory requirement, quoted, with a link.</w:t>
      </w:r>
    </w:p>
    <w:bookmarkEnd w:id="26"/>
    <w:bookmarkStart w:id="27" w:name="make-the-scope-argument-20x-now-permits"/>
    <w:p>
      <w:pPr>
        <w:pStyle w:val="Heading3"/>
      </w:pPr>
      <w:r>
        <w:t xml:space="preserve">4.3 Make the scope argument 20x now permits</w:t>
      </w:r>
    </w:p>
    <w:p>
      <w:pPr>
        <w:pStyle w:val="FirstParagraph"/>
      </w:pPr>
      <w:r>
        <w:t xml:space="preserve">Three arguments are available under the new rules that were not available under</w:t>
      </w:r>
      <w:r>
        <w:t xml:space="preserve"> </w:t>
      </w:r>
      <w:r>
        <w:t xml:space="preserve">Rev 5: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Per-resource categorisation.</w:t>
      </w:r>
      <w:r>
        <w:t xml:space="preserve"> </w:t>
      </w:r>
      <w:r>
        <w:t xml:space="preserve">An agency need not assert one impact level</w:t>
      </w:r>
      <w:r>
        <w:t xml:space="preserve"> </w:t>
      </w:r>
      <w:r>
        <w:t xml:space="preserve">across a heterogeneous estate. Where a capability was refused because it would</w:t>
      </w:r>
      <w:r>
        <w:t xml:space="preserve"> </w:t>
      </w:r>
      <w:r>
        <w:t xml:space="preserve">pull a whole environment upward,</w:t>
      </w:r>
      <w:r>
        <w:t xml:space="preserve"> </w:t>
      </w:r>
      <w:r>
        <w:rPr>
          <w:rStyle w:val="VerbatimChar"/>
        </w:rPr>
        <w:t xml:space="preserve">MAS-CSO-FLO</w:t>
      </w:r>
      <w:r>
        <w:t xml:space="preserve"> </w:t>
      </w:r>
      <w:r>
        <w:t xml:space="preserve">removes the premise.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shared-responsibility test.</w:t>
      </w:r>
      <w:r>
        <w:t xml:space="preserve"> </w:t>
      </w:r>
      <w:r>
        <w:t xml:space="preserve">Endpoint software not operated in a</w:t>
      </w:r>
      <w:r>
        <w:t xml:space="preserve"> </w:t>
      </w:r>
      <w:r>
        <w:t xml:space="preserve">shared-responsibility model is outside FedRAMP’s scope. Establishing that for</w:t>
      </w:r>
      <w:r>
        <w:t xml:space="preserve"> </w:t>
      </w:r>
      <w:r>
        <w:t xml:space="preserve">a given agent removes it from the scope conversation rather than constraining</w:t>
      </w:r>
      <w:r>
        <w:t xml:space="preserve"> </w:t>
      </w:r>
      <w:r>
        <w:t xml:space="preserve">it.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Routine-recurring exemption.</w:t>
      </w:r>
      <w:r>
        <w:t xml:space="preserve"> </w:t>
      </w:r>
      <w:r>
        <w:t xml:space="preserve">A provider shipping continuously can classify</w:t>
      </w:r>
      <w:r>
        <w:t xml:space="preserve"> </w:t>
      </w:r>
      <w:r>
        <w:t xml:space="preserve">that cadence as routine recurring and file nothing, which changes what</w:t>
      </w:r>
      <w:r>
        <w:t xml:space="preserve"> </w:t>
      </w:r>
      <w:r>
        <w:t xml:space="preserve">“keeping current with commercial”</w:t>
      </w:r>
      <w:r>
        <w:t xml:space="preserve"> </w:t>
      </w:r>
      <w:r>
        <w:t xml:space="preserve">costs on the compliance side.</w:t>
      </w:r>
    </w:p>
    <w:bookmarkEnd w:id="27"/>
    <w:bookmarkStart w:id="28" w:name="buy-the-capability-not-the-badge"/>
    <w:p>
      <w:pPr>
        <w:pStyle w:val="Heading3"/>
      </w:pPr>
      <w:r>
        <w:t xml:space="preserve">4.4 Buy the capability, not the badge</w:t>
      </w:r>
    </w:p>
    <w:p>
      <w:pPr>
        <w:pStyle w:val="FirstParagraph"/>
      </w:pPr>
      <w:r>
        <w:t xml:space="preserve">The Microsoft 365 Network Provider Program has been</w:t>
      </w:r>
      <w:r>
        <w:t xml:space="preserve"> </w:t>
      </w:r>
      <w:r>
        <w:rPr>
          <w:b/>
          <w:bCs/>
        </w:rPr>
        <w:t xml:space="preserve">closed to new network</w:t>
      </w:r>
      <w:r>
        <w:rPr>
          <w:b/>
          <w:bCs/>
        </w:rPr>
        <w:t xml:space="preserve"> </w:t>
      </w:r>
      <w:r>
        <w:rPr>
          <w:b/>
          <w:bCs/>
        </w:rPr>
        <w:t xml:space="preserve">providers</w:t>
      </w:r>
      <w:r>
        <w:t xml:space="preserve"> </w:t>
      </w:r>
      <w:r>
        <w:t xml:space="preserve">since at least March 2026, though several pages in Microsoft’s own</w:t>
      </w:r>
      <w:r>
        <w:t xml:space="preserve"> </w:t>
      </w:r>
      <w:r>
        <w:t xml:space="preserve">documentation still invite enrolment. Naming that program as a qualification or</w:t>
      </w:r>
      <w:r>
        <w:t xml:space="preserve"> </w:t>
      </w:r>
      <w:r>
        <w:t xml:space="preserve">evaluation criterion in a solicitation restricts competition to a pool frozen</w:t>
      </w:r>
      <w:r>
        <w:t xml:space="preserve"> </w:t>
      </w:r>
      <w:r>
        <w:t xml:space="preserve">since then, and gives a new entrant no route in.</w:t>
      </w:r>
    </w:p>
    <w:p>
      <w:pPr>
        <w:pStyle w:val="BodyText"/>
      </w:pPr>
      <w:r>
        <w:t xml:space="preserve">Specify the capability instead: automated ingestion of the Microsoft 365 endpoint</w:t>
      </w:r>
      <w:r>
        <w:t xml:space="preserve"> </w:t>
      </w:r>
      <w:r>
        <w:t xml:space="preserve">web service, Optimize and Allow direct-egress steering, and</w:t>
      </w:r>
      <w:r>
        <w:t xml:space="preserve"> </w:t>
      </w:r>
      <w:r>
        <w:rPr>
          <w:rStyle w:val="VerbatimChar"/>
        </w:rPr>
        <w:t xml:space="preserve">/version</w:t>
      </w:r>
      <w:r>
        <w:t xml:space="preserve"> </w:t>
      </w:r>
      <w:r>
        <w:t xml:space="preserve">polling at</w:t>
      </w:r>
      <w:r>
        <w:t xml:space="preserve"> </w:t>
      </w:r>
      <w:r>
        <w:t xml:space="preserve">Microsoft’s recommended cadence. Treat program membership, if it is mentioned at</w:t>
      </w:r>
      <w:r>
        <w:t xml:space="preserve"> </w:t>
      </w:r>
      <w:r>
        <w:t xml:space="preserve">all, as evidence rather than as a gate.</w:t>
      </w:r>
    </w:p>
    <w:bookmarkEnd w:id="28"/>
    <w:bookmarkEnd w:id="29"/>
    <w:bookmarkStart w:id="32" w:name="X57a58a2f6c192163267816c1c863f4d29ac10f5"/>
    <w:p>
      <w:pPr>
        <w:pStyle w:val="Heading2"/>
      </w:pPr>
      <w:r>
        <w:t xml:space="preserve">5. Microsoft is pursuing High for GCC — and what that does not change</w:t>
      </w:r>
    </w:p>
    <w:p>
      <w:pPr>
        <w:pStyle w:val="FirstParagraph"/>
      </w:pPr>
      <w:r>
        <w:t xml:space="preserve">The FedRAMP Marketplace carries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relevant Microsoft packages, and they</w:t>
      </w:r>
      <w:r>
        <w:t xml:space="preserve"> </w:t>
      </w:r>
      <w:r>
        <w:t xml:space="preserve">are routinely conflated. Read from the Marketplace product dataset on</w:t>
      </w:r>
      <w:r>
        <w:t xml:space="preserve"> </w:t>
      </w:r>
      <w:r>
        <w:t xml:space="preserve">9 September 2026: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Package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MSO365MT</w:t>
            </w:r>
          </w:p>
        </w:tc>
        <w:tc>
          <w:tcPr/>
          <w:p>
            <w:pPr>
              <w:pStyle w:val="Compact"/>
            </w:pPr>
            <w:r>
              <w:t xml:space="preserve">M365 Government Community Cloud &amp; Supporting Services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FedRAMP Certified</w:t>
            </w:r>
            <w:r>
              <w:t xml:space="preserve"> </w:t>
            </w:r>
            <w:r>
              <w:t xml:space="preserve">since 2014-11-20,</w:t>
            </w:r>
            <w:r>
              <w:t xml:space="preserve"> </w:t>
            </w:r>
            <w:r>
              <w:rPr>
                <w:b/>
                <w:bCs/>
              </w:rPr>
              <w:t xml:space="preserve">99 authorizations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 (Moderate)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MSO365MTA</w:t>
            </w:r>
          </w:p>
        </w:tc>
        <w:tc>
          <w:tcPr/>
          <w:p>
            <w:pPr>
              <w:pStyle w:val="Compact"/>
            </w:pPr>
            <w:r>
              <w:t xml:space="preserve">M365 Government Community Cloud &amp; Supporting Services —</w:t>
            </w:r>
            <w:r>
              <w:t xml:space="preserve"> </w:t>
            </w:r>
            <w:r>
              <w:rPr>
                <w:i/>
                <w:iCs/>
              </w:rPr>
              <w:t xml:space="preserve">the identical name</w:t>
            </w:r>
          </w:p>
        </w:tc>
        <w:tc>
          <w:tcPr/>
          <w:p>
            <w:pPr>
              <w:pStyle w:val="Compact"/>
            </w:pPr>
            <w:r>
              <w:t xml:space="preserve">FedRAMP</w:t>
            </w:r>
            <w:r>
              <w:t xml:space="preserve"> </w:t>
            </w:r>
            <w:r>
              <w:rPr>
                <w:b/>
                <w:bCs/>
              </w:rPr>
              <w:t xml:space="preserve">In Process</w:t>
            </w:r>
            <w:r>
              <w:t xml:space="preserve">, Initial Implementation,</w:t>
            </w:r>
            <w:r>
              <w:t xml:space="preserve"> </w:t>
            </w:r>
            <w:r>
              <w:rPr>
                <w:b/>
                <w:bCs/>
              </w:rPr>
              <w:t xml:space="preserve">0 authorizations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 (High)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FR1824057433</w:t>
            </w:r>
          </w:p>
        </w:tc>
        <w:tc>
          <w:tcPr/>
          <w:p>
            <w:pPr>
              <w:pStyle w:val="Compact"/>
            </w:pPr>
            <w:r>
              <w:t xml:space="preserve">M365 Government Community Cloud-</w:t>
            </w:r>
            <w:r>
              <w:rPr>
                <w:b/>
                <w:bCs/>
              </w:rP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FedRAMP Certified since 2024-12-26, 5 authorizations</w:t>
            </w:r>
          </w:p>
        </w:tc>
        <w:tc>
          <w:tcPr/>
          <w:p>
            <w:pPr>
              <w:pStyle w:val="Compact"/>
            </w:pPr>
            <w:r>
              <w:t xml:space="preserve">D (High)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MSO365MT</w:t>
      </w:r>
      <w:r>
        <w:t xml:space="preserve"> </w:t>
      </w:r>
      <w:r>
        <w:t xml:space="preserve">is the offering roughly ninety agencies actually run — IRS, SSA, DOJ,</w:t>
      </w:r>
      <w:r>
        <w:t xml:space="preserve"> </w:t>
      </w:r>
      <w:r>
        <w:t xml:space="preserve">State, DHS, NASA, CDC, EPA among them — and it is certified at</w:t>
      </w:r>
      <w:r>
        <w:t xml:space="preserve"> </w:t>
      </w:r>
      <w:r>
        <w:rPr>
          <w:b/>
          <w:bCs/>
        </w:rPr>
        <w:t xml:space="preserve">Moderate</w:t>
      </w:r>
      <w:r>
        <w:t xml:space="preserve">.</w:t>
      </w:r>
      <w:r>
        <w:t xml:space="preserve"> </w:t>
      </w:r>
      <w:r>
        <w:rPr>
          <w:rStyle w:val="VerbatimChar"/>
        </w:rPr>
        <w:t xml:space="preserve">FR1824057433</w:t>
      </w:r>
      <w:r>
        <w:t xml:space="preserve"> </w:t>
      </w:r>
      <w:r>
        <w:t xml:space="preserve">is GCC High, a</w:t>
      </w:r>
      <w:r>
        <w:t xml:space="preserve"> </w:t>
      </w:r>
      <w:r>
        <w:rPr>
          <w:b/>
          <w:bCs/>
        </w:rPr>
        <w:t xml:space="preserve">different product</w:t>
      </w:r>
      <w:r>
        <w:t xml:space="preserve"> </w:t>
      </w:r>
      <w:r>
        <w:t xml:space="preserve">with a different namespace</w:t>
      </w:r>
      <w:r>
        <w:t xml:space="preserve"> </w:t>
      </w:r>
      <w:r>
        <w:t xml:space="preserve">and network regime. Neither is new.</w:t>
      </w:r>
    </w:p>
    <w:p>
      <w:pPr>
        <w:pStyle w:val="BodyText"/>
      </w:pPr>
      <w:r>
        <w:rPr>
          <w:rStyle w:val="VerbatimChar"/>
          <w:b/>
          <w:bCs/>
        </w:rPr>
        <w:t xml:space="preserve">MSO365MTA</w:t>
      </w:r>
      <w:r>
        <w:rPr>
          <w:b/>
          <w:bCs/>
        </w:rPr>
        <w:t xml:space="preserve"> </w:t>
      </w:r>
      <w:r>
        <w:rPr>
          <w:b/>
          <w:bCs/>
        </w:rPr>
        <w:t xml:space="preserve">is.</w:t>
      </w:r>
      <w:r>
        <w:t xml:space="preserve"> </w:t>
      </w:r>
      <w:r>
        <w:t xml:space="preserve">A second package under the</w:t>
      </w:r>
      <w:r>
        <w:t xml:space="preserve"> </w:t>
      </w:r>
      <w:r>
        <w:rPr>
          <w:i/>
          <w:iCs/>
        </w:rPr>
        <w:t xml:space="preserve">same name</w:t>
      </w:r>
      <w:r>
        <w:t xml:space="preserve"> </w:t>
      </w:r>
      <w:r>
        <w:t xml:space="preserve">as the certified GCC</w:t>
      </w:r>
      <w:r>
        <w:t xml:space="preserve"> </w:t>
      </w:r>
      <w:r>
        <w:t xml:space="preserve">offering, at Class D, in Initial Implementation, with status changes on</w:t>
      </w:r>
      <w:r>
        <w:t xml:space="preserve"> </w:t>
      </w:r>
      <w:r>
        <w:t xml:space="preserve">2026-07-01 and 2026-07-20.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 and inference, separated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fact</w:t>
            </w:r>
            <w:r>
              <w:t xml:space="preserve"> </w:t>
            </w:r>
            <w:r>
              <w:t xml:space="preserve">is the table above, read from FedRAMP’s own dataset. The</w:t>
            </w:r>
            <w:r>
              <w:t xml:space="preserve"> </w:t>
            </w:r>
            <w:r>
              <w:rPr>
                <w:b/>
                <w:bCs/>
              </w:rPr>
              <w:t xml:space="preserve">inference</w:t>
            </w:r>
            <w:r>
              <w:t xml:space="preserve"> </w:t>
            </w:r>
            <w:r>
              <w:t xml:space="preserve">is that</w:t>
            </w:r>
            <w:r>
              <w:t xml:space="preserve"> </w:t>
            </w:r>
            <w:r>
              <w:rPr>
                <w:rStyle w:val="VerbatimChar"/>
              </w:rPr>
              <w:t xml:space="preserve">MSO365MTA</w:t>
            </w:r>
            <w:r>
              <w:t xml:space="preserve"> </w:t>
            </w:r>
            <w:r>
              <w:t xml:space="preserve">represents a High certification effort for the</w:t>
            </w:r>
            <w:r>
              <w:t xml:space="preserve"> </w:t>
            </w:r>
            <w:r>
              <w:t xml:space="preserve">GCC service running in parallel with its existing Moderate authorization. That</w:t>
            </w:r>
            <w:r>
              <w:t xml:space="preserve"> </w:t>
            </w:r>
            <w:r>
              <w:t xml:space="preserve">is the straightforward reading of a same-named Class D package in Initial</w:t>
            </w:r>
            <w:r>
              <w:t xml:space="preserve"> </w:t>
            </w:r>
            <w:r>
              <w:t xml:space="preserve">Implementation, but the Marketplace does not state the relationship between two</w:t>
            </w:r>
            <w:r>
              <w:t xml:space="preserve"> </w:t>
            </w:r>
            <w:r>
              <w:t xml:space="preserve">packages sharing a name, and it does not say whether one will supersede the</w:t>
            </w:r>
            <w:r>
              <w:t xml:space="preserve"> </w:t>
            </w:r>
            <w:r>
              <w:t xml:space="preserve">other, run alongside it, or be withdrawn. Treat the reading as a question to put</w:t>
            </w:r>
            <w:r>
              <w:t xml:space="preserve"> </w:t>
            </w:r>
            <w:r>
              <w:t xml:space="preserve">to Microsoft, not as a roadmap commitment.</w:t>
            </w:r>
          </w:p>
          <w:p/>
        </w:tc>
      </w:tr>
    </w:tbl>
    <w:p>
      <w:pPr>
        <w:pStyle w:val="BodyText"/>
      </w:pPr>
      <w:r>
        <w:rPr>
          <w:b/>
          <w:bCs/>
        </w:rPr>
        <w:t xml:space="preserve">Why it matters.</w:t>
      </w:r>
      <w:r>
        <w:t xml:space="preserve"> </w:t>
      </w:r>
      <w:r>
        <w:t xml:space="preserve">A great deal of federal</w:t>
      </w:r>
      <w:r>
        <w:t xml:space="preserve"> </w:t>
      </w:r>
      <w:r>
        <w:t xml:space="preserve">“we cannot have that in GCC”</w:t>
      </w:r>
      <w:r>
        <w:t xml:space="preserve"> </w:t>
      </w:r>
      <w:r>
        <w:t xml:space="preserve">reasoning rests on an assumed Moderate ceiling. If Microsoft is certifying GCC</w:t>
      </w:r>
      <w:r>
        <w:t xml:space="preserve"> </w:t>
      </w:r>
      <w:r>
        <w:t xml:space="preserve">at High, that premise has a shelf life, and any multi-year architecture that</w:t>
      </w:r>
      <w:r>
        <w:t xml:space="preserve"> </w:t>
      </w:r>
      <w:r>
        <w:t xml:space="preserve">hard-codes Moderate — in a schema enum, a control-parameter narrative, or an</w:t>
      </w:r>
      <w:r>
        <w:t xml:space="preserve"> </w:t>
      </w:r>
      <w:r>
        <w:t xml:space="preserve">acquisition assumption — is building on a moving foundation.</w:t>
      </w:r>
    </w:p>
    <w:p>
      <w:pPr>
        <w:pStyle w:val="BodyText"/>
      </w:pPr>
      <w:r>
        <w:rPr>
          <w:b/>
          <w:bCs/>
        </w:rPr>
        <w:t xml:space="preserve">What it does not change, and this is the important part.</w:t>
      </w:r>
      <w:r>
        <w:t xml:space="preserve"> </w:t>
      </w:r>
      <w:r>
        <w:t xml:space="preserve">Raising an impact</w:t>
      </w:r>
      <w:r>
        <w:t xml:space="preserve"> </w:t>
      </w:r>
      <w:r>
        <w:t xml:space="preserve">level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restore excluded features. The exclusions catalogued in §3</w:t>
      </w:r>
      <w:r>
        <w:t xml:space="preserve"> </w:t>
      </w:r>
      <w:r>
        <w:t xml:space="preserve">are product decisions published per feature, not consequences of an impact</w:t>
      </w:r>
      <w:r>
        <w:t xml:space="preserve"> </w:t>
      </w:r>
      <w:r>
        <w:t xml:space="preserve">level: the admin-centre network observability layer is documented as unavailable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GCC, GCC High and DoD alike</w:t>
      </w:r>
      <w:r>
        <w:t xml:space="preserve">, and GCC High sits at Class D already. A</w:t>
      </w:r>
      <w:r>
        <w:t xml:space="preserve"> </w:t>
      </w:r>
      <w:r>
        <w:t xml:space="preserve">GCC-at-High certification would change what data an agency may place in the</w:t>
      </w:r>
      <w:r>
        <w:t xml:space="preserve"> </w:t>
      </w:r>
      <w:r>
        <w:t xml:space="preserve">service. It would not, on its own, return the per-location network scores, the</w:t>
      </w:r>
      <w:r>
        <w:t xml:space="preserve"> </w:t>
      </w:r>
      <w:r>
        <w:t xml:space="preserve">egress-distance insight, or the comparative provider ranking.</w:t>
      </w:r>
    </w:p>
    <w:p>
      <w:pPr>
        <w:pStyle w:val="BodyText"/>
      </w:pPr>
      <w:r>
        <w:t xml:space="preserve">That distinction is the whole thesis of this paper in miniature. Impact level</w:t>
      </w:r>
      <w:r>
        <w:t xml:space="preserve"> </w:t>
      </w:r>
      <w:r>
        <w:t xml:space="preserve">and feature availability are different axes. Conflating them is what produces</w:t>
      </w:r>
      <w:r>
        <w:t xml:space="preserve"> </w:t>
      </w:r>
      <w:r>
        <w:t xml:space="preserve">the boundary framing §2 rejects — and it is why an agency waiting for a</w:t>
      </w:r>
      <w:r>
        <w:t xml:space="preserve"> </w:t>
      </w:r>
      <w:r>
        <w:t xml:space="preserve">certification to restore a capability may wait indefinitely for something the</w:t>
      </w:r>
      <w:r>
        <w:t xml:space="preserve"> </w:t>
      </w:r>
      <w:r>
        <w:t xml:space="preserve">certification was never going to deliver.</w:t>
      </w:r>
    </w:p>
    <w:bookmarkEnd w:id="32"/>
    <w:bookmarkStart w:id="34" w:name="honest-limits"/>
    <w:p>
      <w:pPr>
        <w:pStyle w:val="Heading2"/>
      </w:pPr>
      <w:r>
        <w:t xml:space="preserve">6. Honest limits</w:t>
      </w:r>
    </w:p>
    <w:p>
      <w:pPr>
        <w:pStyle w:val="FirstParagraph"/>
      </w:pPr>
      <w:r>
        <w:rPr>
          <w:b/>
          <w:bCs/>
        </w:rPr>
        <w:t xml:space="preserve">The certified level is Moderate — and a second listing pursues High.</w:t>
      </w:r>
      <w:r>
        <w:t xml:space="preserve"> </w:t>
      </w:r>
      <w:r>
        <w:t xml:space="preserve">Neither source used in this paper settles it: the Consolidated Rules carry no</w:t>
      </w:r>
      <w:r>
        <w:t xml:space="preserve"> </w:t>
      </w:r>
      <w:r>
        <w:t xml:space="preserve">impact level for any Microsoft offering, and Microsoft’s M365 enterprise</w:t>
      </w:r>
      <w:r>
        <w:t xml:space="preserve"> </w:t>
      </w:r>
      <w:r>
        <w:t xml:space="preserve">documentation contains no FedRAMP reference at all. The Marketplace does, and it</w:t>
      </w:r>
      <w:r>
        <w:t xml:space="preserve"> </w:t>
      </w:r>
      <w:r>
        <w:t xml:space="preserve">was read on 9 September 2026. The certified offering is</w:t>
      </w:r>
      <w:r>
        <w:t xml:space="preserve"> </w:t>
      </w:r>
      <w:r>
        <w:rPr>
          <w:rStyle w:val="VerbatimChar"/>
          <w:b/>
          <w:bCs/>
        </w:rPr>
        <w:t xml:space="preserve">MSO365MT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Class C (Moderate)</w:t>
      </w:r>
      <w:r>
        <w:t xml:space="preserve">, FedRAMP Certified since 2014-11-20,</w:t>
      </w:r>
      <w:r>
        <w:t xml:space="preserve"> </w:t>
      </w:r>
      <w:r>
        <w:rPr>
          <w:b/>
          <w:bCs/>
        </w:rPr>
        <w:t xml:space="preserve">99</w:t>
      </w:r>
      <w:r>
        <w:rPr>
          <w:b/>
          <w:bCs/>
        </w:rPr>
        <w:t xml:space="preserve"> </w:t>
      </w:r>
      <w:r>
        <w:rPr>
          <w:b/>
          <w:bCs/>
        </w:rPr>
        <w:t xml:space="preserve">authorizations</w:t>
      </w:r>
      <w:r>
        <w:t xml:space="preserve"> </w:t>
      </w:r>
      <w:r>
        <w:t xml:space="preserve">across roughly ninety agencies. See</w:t>
      </w:r>
      <w:r>
        <w:t xml:space="preserve"> </w:t>
      </w:r>
      <w:r>
        <w:t xml:space="preserve">FINDING-PGM-006.</w:t>
      </w:r>
    </w:p>
    <w:p>
      <w:pPr>
        <w:pStyle w:val="BodyText"/>
      </w:pPr>
      <w:r>
        <w:t xml:space="preserve">So</w:t>
      </w:r>
      <w:r>
        <w:t xml:space="preserve"> </w:t>
      </w:r>
      <w:r>
        <w:t xml:space="preserve">“GCC-Moderate”</w:t>
      </w:r>
      <w:r>
        <w:t xml:space="preserve"> </w:t>
      </w:r>
      <w:r>
        <w:t xml:space="preserve">is right about the level and loose about the name — but the</w:t>
      </w:r>
      <w:r>
        <w:t xml:space="preserve"> </w:t>
      </w:r>
      <w:r>
        <w:t xml:space="preserve">claim needs stating more narrowly than it was.</w:t>
      </w:r>
      <w:r>
        <w:t xml:space="preserve"> </w:t>
      </w:r>
      <w:r>
        <w:rPr>
          <w:b/>
          <w:bCs/>
        </w:rPr>
        <w:t xml:space="preserve">“GCC Moderate”</w:t>
      </w:r>
      <w:r>
        <w:rPr>
          <w:b/>
          <w:bCs/>
        </w:rPr>
        <w:t xml:space="preserve"> </w:t>
      </w:r>
      <w:r>
        <w:rPr>
          <w:b/>
          <w:bCs/>
        </w:rPr>
        <w:t xml:space="preserve">is not a</w:t>
      </w:r>
      <w:r>
        <w:rPr>
          <w:b/>
          <w:bCs/>
        </w:rPr>
        <w:t xml:space="preserve"> </w:t>
      </w:r>
      <w:r>
        <w:rPr>
          <w:b/>
          <w:bCs/>
        </w:rPr>
        <w:t xml:space="preserve">Microsoft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offering</w:t>
      </w:r>
      <w:r>
        <w:rPr>
          <w:b/>
          <w:bCs/>
        </w:rPr>
        <w:t xml:space="preserve"> </w:t>
      </w:r>
      <w:r>
        <w:rPr>
          <w:b/>
          <w:bCs/>
        </w:rPr>
        <w:t xml:space="preserve">name</w:t>
      </w:r>
      <w:r>
        <w:t xml:space="preserve">: the offering is Government Community Cloud, and</w:t>
      </w:r>
      <w:r>
        <w:t xml:space="preserve"> </w:t>
      </w:r>
      <w:r>
        <w:t xml:space="preserve">the Marketplace listing is</w:t>
      </w:r>
      <w:r>
        <w:t xml:space="preserve"> </w:t>
      </w:r>
      <w:r>
        <w:rPr>
          <w:rStyle w:val="VerbatimChar"/>
        </w:rPr>
        <w:t xml:space="preserve">MSO365MT</w:t>
      </w:r>
      <w:r>
        <w:t xml:space="preserve">. It is, however, a phrase Microsoft</w:t>
      </w:r>
      <w:r>
        <w:t xml:space="preserve"> </w:t>
      </w:r>
      <w:r>
        <w:t xml:space="preserve">itself uses for the</w:t>
      </w:r>
      <w:r>
        <w:t xml:space="preserve"> </w:t>
      </w:r>
      <w:r>
        <w:rPr>
          <w:i/>
          <w:iCs/>
        </w:rPr>
        <w:t xml:space="preserve">cloud environment</w:t>
      </w:r>
      <w:r>
        <w:t xml:space="preserve">. The informed network routing page</w:t>
      </w:r>
      <w:r>
        <w:t xml:space="preserve"> </w:t>
      </w:r>
      <w:r>
        <w:t xml:space="preserve">says the feature</w:t>
      </w:r>
      <w:r>
        <w:t xml:space="preserve"> </w:t>
      </w:r>
      <w:r>
        <w:t xml:space="preserve">“supports tenants in WW Commercial cloud but not the</w:t>
      </w:r>
      <w:r>
        <w:t xml:space="preserve"> </w:t>
      </w:r>
      <w:r>
        <w:rPr>
          <w:b/>
          <w:bCs/>
        </w:rPr>
        <w:t xml:space="preserve">GCC</w:t>
      </w:r>
      <w:r>
        <w:rPr>
          <w:b/>
          <w:bCs/>
        </w:rPr>
        <w:t xml:space="preserve"> </w:t>
      </w:r>
      <w:r>
        <w:rPr>
          <w:b/>
          <w:bCs/>
        </w:rPr>
        <w:t xml:space="preserve">Moderate</w:t>
      </w:r>
      <w:r>
        <w:t xml:space="preserve">, GCC High, DoD, Germany, or China clouds”</w:t>
      </w:r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Microsoft Learn</w:t>
        </w:r>
      </w:hyperlink>
      <w:r>
        <w:t xml:space="preserve">,</w:t>
      </w:r>
      <w:r>
        <w:t xml:space="preserve"> </w:t>
      </w:r>
      <w:r>
        <w:t xml:space="preserve">read 11 September 2026), and</w:t>
      </w:r>
      <w:r>
        <w:t xml:space="preserve"> </w:t>
      </w:r>
      <w:r>
        <w:t xml:space="preserve">Book 05’s M365 appendix</w:t>
      </w:r>
      <w:r>
        <w:t xml:space="preserve"> </w:t>
      </w:r>
      <w:r>
        <w:t xml:space="preserve">quotes the same sentence. So an agency writing</w:t>
      </w:r>
      <w:r>
        <w:t xml:space="preserve"> </w:t>
      </w:r>
      <w:r>
        <w:t xml:space="preserve">“GCC Moderate”</w:t>
      </w:r>
      <w:r>
        <w:t xml:space="preserve"> </w:t>
      </w:r>
      <w:r>
        <w:t xml:space="preserve">for the</w:t>
      </w:r>
      <w:r>
        <w:t xml:space="preserve"> </w:t>
      </w:r>
      <w:r>
        <w:t xml:space="preserve">environment is following Microsoft’s own usage; what it cannot do is treat</w:t>
      </w:r>
      <w:r>
        <w:t xml:space="preserve"> </w:t>
      </w:r>
      <w:r>
        <w:t xml:space="preserve">the phrase as naming a distinct product or a distinct FedRAMP authorization,</w:t>
      </w:r>
      <w:r>
        <w:t xml:space="preserve"> </w:t>
      </w:r>
      <w:r>
        <w:t xml:space="preserve">because there is neither.</w:t>
      </w:r>
    </w:p>
    <w:p>
      <w:pPr>
        <w:pStyle w:val="BodyText"/>
      </w:pPr>
      <w:r>
        <w:t xml:space="preserve">A second, identically-named listing is pursuing</w:t>
      </w:r>
      <w:r>
        <w:t xml:space="preserve"> </w:t>
      </w:r>
      <w:r>
        <w:rPr>
          <w:b/>
          <w:bCs/>
        </w:rPr>
        <w:t xml:space="preserve">Class D (High)</w:t>
      </w:r>
      <w:r>
        <w:t xml:space="preserve">; see §5,</w:t>
      </w:r>
      <w:r>
        <w:t xml:space="preserve"> </w:t>
      </w:r>
      <w:r>
        <w:t xml:space="preserve">which also explains why a higher level would not by itself restore the excluded</w:t>
      </w:r>
      <w:r>
        <w:t xml:space="preserve"> </w:t>
      </w:r>
      <w:r>
        <w:t xml:space="preserve">features.</w:t>
      </w:r>
    </w:p>
    <w:p>
      <w:pPr>
        <w:pStyle w:val="BodyText"/>
      </w:pPr>
      <w:r>
        <w:t xml:space="preserve">Two cautions attach: FedRAMP renders Class C as</w:t>
      </w:r>
      <w:r>
        <w:t xml:space="preserve"> </w:t>
      </w:r>
      <w:r>
        <w:t xml:space="preserve">“(Moderate)”</w:t>
      </w:r>
      <w:r>
        <w:t xml:space="preserve"> </w:t>
      </w:r>
      <w:r>
        <w:t xml:space="preserve">in its own UI while</w:t>
      </w:r>
      <w:r>
        <w:t xml:space="preserve"> </w:t>
      </w:r>
      <w:r>
        <w:t xml:space="preserve">separately cautioning the 2026 classes are not one-for-one replacements for</w:t>
      </w:r>
      <w:r>
        <w:t xml:space="preserve"> </w:t>
      </w:r>
      <w:r>
        <w:t xml:space="preserve">legacy levels, so cite the</w:t>
      </w:r>
      <w:r>
        <w:t xml:space="preserve"> </w:t>
      </w:r>
      <w:r>
        <w:rPr>
          <w:b/>
          <w:bCs/>
        </w:rPr>
        <w:t xml:space="preserve">class</w:t>
      </w:r>
      <w:r>
        <w:t xml:space="preserve">; and a Marketplace record is a snapshot.</w:t>
      </w:r>
    </w:p>
    <w:p>
      <w:pPr>
        <w:pStyle w:val="BodyText"/>
      </w:pPr>
      <w:r>
        <w:rPr>
          <w:b/>
          <w:bCs/>
        </w:rPr>
        <w:t xml:space="preserve">Microsoft is not forcing anyone off Active Directory.</w:t>
      </w:r>
      <w:r>
        <w:t xml:space="preserve"> </w:t>
      </w:r>
      <w:r>
        <w:t xml:space="preserve">Microsoft’s deployment</w:t>
      </w:r>
      <w:r>
        <w:t xml:space="preserve"> </w:t>
      </w:r>
      <w:r>
        <w:t xml:space="preserve">documentation presents cloud-only and hybrid as two models chosen on fit, calls</w:t>
      </w:r>
      <w:r>
        <w:t xml:space="preserve"> </w:t>
      </w:r>
      <w:r>
        <w:t xml:space="preserve">hybrid</w:t>
      </w:r>
      <w:r>
        <w:t xml:space="preserve"> </w:t>
      </w:r>
      <w:r>
        <w:rPr>
          <w:i/>
          <w:iCs/>
        </w:rPr>
        <w:t xml:space="preserve">“the most common choice for enterprise customers”</w:t>
      </w:r>
      <w:r>
        <w:t xml:space="preserve">, contemplates</w:t>
      </w:r>
      <w:r>
        <w:t xml:space="preserve"> </w:t>
      </w:r>
      <w:r>
        <w:t xml:space="preserve">permanent split operation, and terminates its own flagship reference</w:t>
      </w:r>
      <w:r>
        <w:t xml:space="preserve"> </w:t>
      </w:r>
      <w:r>
        <w:t xml:space="preserve">architecture in hybrid with password hash sync. Nothing in it announces a forced</w:t>
      </w:r>
      <w:r>
        <w:t xml:space="preserve"> </w:t>
      </w:r>
      <w:r>
        <w:t xml:space="preserve">migration or sets a sunset for AD DS synchronization. Governance arguments that</w:t>
      </w:r>
      <w:r>
        <w:t xml:space="preserve"> </w:t>
      </w:r>
      <w:r>
        <w:t xml:space="preserve">rest on a Microsoft migration imperative should be re-based; the governance gaps</w:t>
      </w:r>
      <w:r>
        <w:t xml:space="preserve"> </w:t>
      </w:r>
      <w:r>
        <w:t xml:space="preserve">they describe survive the correction, the urgency framing does not.</w:t>
      </w:r>
    </w:p>
    <w:p>
      <w:pPr>
        <w:pStyle w:val="BodyText"/>
      </w:pPr>
      <w:r>
        <w:rPr>
          <w:b/>
          <w:bCs/>
        </w:rPr>
        <w:t xml:space="preserve">Synchronized users are administered on-premises.</w:t>
      </w:r>
      <w:r>
        <w:t xml:space="preserve"> </w:t>
      </w:r>
      <w:r>
        <w:t xml:space="preserve">For any user with</w:t>
      </w:r>
      <w:r>
        <w:t xml:space="preserve"> </w:t>
      </w:r>
      <w:r>
        <w:rPr>
          <w:rStyle w:val="VerbatimChar"/>
        </w:rPr>
        <w:t xml:space="preserve">onPremisesSyncEnabled = true</w:t>
      </w:r>
      <w:r>
        <w:t xml:space="preserve">, on-premises AD DS is the authoritative source and</w:t>
      </w:r>
      <w:r>
        <w:t xml:space="preserve"> </w:t>
      </w:r>
      <w:r>
        <w:t xml:space="preserve">Graph treats</w:t>
      </w:r>
      <w:r>
        <w:t xml:space="preserve"> </w:t>
      </w:r>
      <w:r>
        <w:rPr>
          <w:rStyle w:val="VerbatimChar"/>
        </w:rPr>
        <w:t xml:space="preserve">onPremisesExtensionAttributes</w:t>
      </w:r>
      <w:r>
        <w:t xml:space="preserve"> </w:t>
      </w:r>
      <w:r>
        <w:t xml:space="preserve">as read-only. Writability is</w:t>
      </w:r>
      <w:r>
        <w:t xml:space="preserve"> </w:t>
      </w:r>
      <w:r>
        <w:t xml:space="preserve">attribute-specific. Any design that stamps attributes cloud-side needs an</w:t>
      </w:r>
      <w:r>
        <w:t xml:space="preserve"> </w:t>
      </w:r>
      <w:r>
        <w:t xml:space="preserve">identity-model gate, because the failure is silent.</w:t>
      </w:r>
    </w:p>
    <w:p>
      <w:pPr>
        <w:pStyle w:val="BodyText"/>
      </w:pPr>
      <w:r>
        <w:rPr>
          <w:b/>
          <w:bCs/>
        </w:rPr>
        <w:t xml:space="preserve">Rev 5 and 20x coexist.</w:t>
      </w:r>
      <w:r>
        <w:t xml:space="preserve"> </w:t>
      </w:r>
      <w:r>
        <w:t xml:space="preserve">Rev5 certifications remain valid to at least</w:t>
      </w:r>
      <w:r>
        <w:t xml:space="preserve"> </w:t>
      </w:r>
      <w:r>
        <w:t xml:space="preserve">2028-12-31, and offerings certified under Rev5 retain boundary vocabulary. An</w:t>
      </w:r>
      <w:r>
        <w:t xml:space="preserve"> </w:t>
      </w:r>
      <w:r>
        <w:t xml:space="preserve">agency will hold packages in both models simultaneously for years.</w:t>
      </w:r>
    </w:p>
    <w:bookmarkEnd w:id="34"/>
    <w:bookmarkStart w:id="35" w:name="what-to-ask-for"/>
    <w:p>
      <w:pPr>
        <w:pStyle w:val="Heading2"/>
      </w:pPr>
      <w:r>
        <w:t xml:space="preserve">7. What to ask for</w:t>
      </w:r>
    </w:p>
    <w:p>
      <w:pPr>
        <w:pStyle w:val="FirstParagraph"/>
      </w:pPr>
      <w:r>
        <w:t xml:space="preserve">The productive conversation with Microsoft is not</w:t>
      </w:r>
      <w:r>
        <w:t xml:space="preserve"> </w:t>
      </w:r>
      <w:r>
        <w:t xml:space="preserve">“grant us commercial parity.”</w:t>
      </w:r>
      <w:r>
        <w:t xml:space="preserve"> </w:t>
      </w:r>
      <w:r>
        <w:t xml:space="preserve">It is four specific, evidenced asks: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Publish the per-feature exclusion list for GCC as a machine-readable</w:t>
      </w:r>
      <w:r>
        <w:rPr>
          <w:b/>
          <w:bCs/>
        </w:rPr>
        <w:t xml:space="preserve"> </w:t>
      </w:r>
      <w:r>
        <w:rPr>
          <w:b/>
          <w:bCs/>
        </w:rPr>
        <w:t xml:space="preserve">artifact.</w:t>
      </w:r>
      <w:r>
        <w:t xml:space="preserve"> </w:t>
      </w:r>
      <w:r>
        <w:t xml:space="preserve">The exclusions already exist as individual documentation notes;</w:t>
      </w:r>
      <w:r>
        <w:t xml:space="preserve"> </w:t>
      </w:r>
      <w:r>
        <w:t xml:space="preserve">the gap is that they are not enumerable.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Name the exception path per feature</w:t>
      </w:r>
      <w:r>
        <w:t xml:space="preserve">, as ExpressRoute already does — what</w:t>
      </w:r>
      <w:r>
        <w:t xml:space="preserve"> </w:t>
      </w:r>
      <w:r>
        <w:t xml:space="preserve">regulatory hook, quoted, would move a given exclusion.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Restore the admin-centre network observability layer to GCC</w:t>
      </w:r>
      <w:r>
        <w:t xml:space="preserve">, or publish</w:t>
      </w:r>
      <w:r>
        <w:t xml:space="preserve"> </w:t>
      </w:r>
      <w:r>
        <w:t xml:space="preserve">the specific accreditation obstacle that prevents it. This is the largest</w:t>
      </w:r>
      <w:r>
        <w:t xml:space="preserve"> </w:t>
      </w:r>
      <w:r>
        <w:t xml:space="preserve">single documented loss and the one with a direct operational cost.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Ship a FedRAMP-Compatible Trust Center</w:t>
      </w:r>
      <w:r>
        <w:t xml:space="preserve"> </w:t>
      </w:r>
      <w:r>
        <w:t xml:space="preserve">with programmatic access under</w:t>
      </w:r>
      <w:r>
        <w:t xml:space="preserve"> </w:t>
      </w:r>
      <w:r>
        <w:rPr>
          <w:rStyle w:val="VerbatimChar"/>
        </w:rPr>
        <w:t xml:space="preserve">CDS-TRC</w:t>
      </w:r>
      <w:r>
        <w:t xml:space="preserve">, so that certification data reaches agency pipelines as data rather</w:t>
      </w:r>
      <w:r>
        <w:t xml:space="preserve"> </w:t>
      </w:r>
      <w:r>
        <w:t xml:space="preserve">than as documents.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State the relationship between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MSO365MT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MSO365MTA</w:t>
      </w:r>
      <w:r>
        <w:t xml:space="preserve"> </w:t>
      </w:r>
      <w:r>
        <w:t xml:space="preserve">— whether the</w:t>
      </w:r>
      <w:r>
        <w:t xml:space="preserve"> </w:t>
      </w:r>
      <w:r>
        <w:t xml:space="preserve">High package supersedes the Moderate one, runs alongside it, or is withdrawn;</w:t>
      </w:r>
      <w:r>
        <w:t xml:space="preserve"> </w:t>
      </w:r>
      <w:r>
        <w:t xml:space="preserve">its target date; and, critically,</w:t>
      </w:r>
      <w:r>
        <w:t xml:space="preserve"> </w:t>
      </w:r>
      <w:r>
        <w:rPr>
          <w:b/>
          <w:bCs/>
        </w:rPr>
        <w:t xml:space="preserve">which of the §3 exclusions a higher</w:t>
      </w:r>
      <w:r>
        <w:rPr>
          <w:b/>
          <w:bCs/>
        </w:rPr>
        <w:t xml:space="preserve"> </w:t>
      </w:r>
      <w:r>
        <w:rPr>
          <w:b/>
          <w:bCs/>
        </w:rPr>
        <w:t xml:space="preserve">impact level would and would not lift.</w:t>
      </w:r>
      <w:r>
        <w:t xml:space="preserve"> </w:t>
      </w:r>
      <w:r>
        <w:t xml:space="preserve">An agency planning against a</w:t>
      </w:r>
      <w:r>
        <w:t xml:space="preserve"> </w:t>
      </w:r>
      <w:r>
        <w:t xml:space="preserve">Moderate ceiling needs that answer before it commissions a compensating</w:t>
      </w:r>
      <w:r>
        <w:t xml:space="preserve"> </w:t>
      </w:r>
      <w:r>
        <w:t xml:space="preserve">capability it may not need — or defers one it will.</w:t>
      </w:r>
    </w:p>
    <w:p>
      <w:pPr>
        <w:pStyle w:val="FirstParagraph"/>
      </w:pPr>
      <w:r>
        <w:t xml:space="preserve">Each of those is answerable. None of them requires the boundary framing, and</w:t>
      </w:r>
      <w:r>
        <w:t xml:space="preserve"> </w:t>
      </w:r>
      <w:r>
        <w:t xml:space="preserve">three of them are strengthened rather than weakened by 20x.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04"/>
        </w:numPr>
      </w:pPr>
      <w:r>
        <w:t xml:space="preserve">FedRAMP Consolidated Rules for 2026, official ruleset</w:t>
      </w:r>
      <w:r>
        <w:t xml:space="preserve"> </w:t>
      </w:r>
      <w:r>
        <w:rPr>
          <w:rStyle w:val="VerbatimChar"/>
        </w:rPr>
        <w:t xml:space="preserve">2026.06.24.01</w:t>
      </w:r>
      <w:r>
        <w:t xml:space="preserve">, vendored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src/fmp/canon/compliance/reference/fedramp-cr26/official/</w:t>
      </w:r>
      <w:r>
        <w:t xml:space="preserve"> </w:t>
      </w:r>
      <w:r>
        <w:t xml:space="preserve">— the primary</w:t>
      </w:r>
      <w:r>
        <w:t xml:space="preserve"> </w:t>
      </w:r>
      <w:r>
        <w:t xml:space="preserve">rules authority per the program decision D1</w:t>
      </w:r>
    </w:p>
    <w:p>
      <w:pPr>
        <w:pStyle w:val="Compact"/>
        <w:numPr>
          <w:ilvl w:val="0"/>
          <w:numId w:val="1004"/>
        </w:numPr>
      </w:pPr>
      <w:r>
        <w:t xml:space="preserve">the program decision — FedRAMP 20x Boundary Model Refinement</w:t>
      </w:r>
    </w:p>
    <w:p>
      <w:pPr>
        <w:pStyle w:val="Compact"/>
        <w:numPr>
          <w:ilvl w:val="0"/>
          <w:numId w:val="1004"/>
        </w:numPr>
      </w:pPr>
      <w:r>
        <w:t xml:space="preserve">the program decision — FedRAMP 20x Integration</w:t>
      </w:r>
    </w:p>
    <w:p>
      <w:pPr>
        <w:pStyle w:val="Compact"/>
        <w:numPr>
          <w:ilvl w:val="0"/>
          <w:numId w:val="1004"/>
        </w:numPr>
      </w:pPr>
      <w:r>
        <w:t xml:space="preserve">FINDING-PGM-005 — FedRAMP 20x has no CSP authorization boundary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src/fmp/canon/data/gcc-moderate-telemetry-gaps.yaml</w:t>
      </w:r>
      <w:r>
        <w:t xml:space="preserve"> </w:t>
      </w:r>
      <w:r>
        <w:t xml:space="preserve">— authoritative over the</w:t>
      </w:r>
      <w:r>
        <w:t xml:space="preserve"> </w:t>
      </w:r>
      <w:r>
        <w:t xml:space="preserve">telemetry gap matrix</w:t>
      </w:r>
    </w:p>
    <w:p>
      <w:pPr>
        <w:pStyle w:val="Compact"/>
        <w:numPr>
          <w:ilvl w:val="0"/>
          <w:numId w:val="1004"/>
        </w:numPr>
      </w:pPr>
      <w:r>
        <w:t xml:space="preserve">Microsoft Docset Cross-Check, 4 September 2026 — Microsoft 365 for enterprise</w:t>
      </w:r>
      <w:r>
        <w:t xml:space="preserve"> </w:t>
      </w:r>
      <w:r>
        <w:t xml:space="preserve">(o365-worldwide) docset, 1,529 pages, generated 22 August 2026. All Microsoft</w:t>
      </w:r>
      <w:r>
        <w:t xml:space="preserve"> </w:t>
      </w:r>
      <w:r>
        <w:t xml:space="preserve">facts in this paper trace to that cross-check’s page citations.</w:t>
      </w:r>
    </w:p>
    <w:p>
      <w:pPr>
        <w:pStyle w:val="Compact"/>
        <w:numPr>
          <w:ilvl w:val="0"/>
          <w:numId w:val="1004"/>
        </w:numPr>
      </w:pPr>
      <w:r>
        <w:t xml:space="preserve">B.1 GCC-Moderate Boundary Model,</w:t>
      </w:r>
      <w:r>
        <w:t xml:space="preserve"> </w:t>
      </w:r>
      <w:r>
        <w:t xml:space="preserve">§0 — terminology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33" Target="https://learn.microsoft.com/en-us/microsoft-365/enterprise/office-365-network-mac-perf-cpe?view=o365-worldw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learn.microsoft.com/en-us/microsoft-365/enterprise/office-365-network-mac-perf-cpe?view=o365-worldw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Changed at FedRAMP — and What Agencies Can Now Ask Microsoft For</dc:title>
  <dc:creator>Michael Stratton</dc:creator>
  <cp:keywords/>
  <dcterms:created xsi:type="dcterms:W3CDTF">2026-10-19T10:11:46Z</dcterms:created>
  <dcterms:modified xsi:type="dcterms:W3CDTF">2026-10-19T10:11:46Z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reference">
    <vt:lpwstr/>
  </property>
  <property fmtid="{D5CDD505-2E9C-101B-9397-08002B2CF9AE}" pid="7" name="canon-source">
    <vt:lpwstr>src/fmp/canon/compliance/reference/fedramp-cr26/official/fedramp-consolidated-rules.json</vt:lpwstr>
  </property>
  <property fmtid="{D5CDD505-2E9C-101B-9397-08002B2CF9AE}" pid="8" name="created-at">
    <vt:lpwstr>2026-09-09</vt:lpwstr>
  </property>
  <property fmtid="{D5CDD505-2E9C-101B-9397-08002B2CF9AE}" pid="9" name="date">
    <vt:lpwstr>2026-09-01</vt:lpwstr>
  </property>
  <property fmtid="{D5CDD505-2E9C-101B-9397-08002B2CF9AE}" pid="10" name="doc-type">
    <vt:lpwstr>whitepaper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adopted</vt:lpwstr>
  </property>
  <property fmtid="{D5CDD505-2E9C-101B-9397-08002B2CF9AE}" pid="16" name="lifecycle_review">
    <vt:lpwstr>2027-03-09</vt:lpwstr>
  </property>
  <property fmtid="{D5CDD505-2E9C-101B-9397-08002B2CF9AE}" pid="17" name="repo-path">
    <vt:lpwstr>docs/customer-documents/whitepapers/fedramp-20x-and-the-commercial-feature-gap.qmd</vt:lpwstr>
  </property>
  <property fmtid="{D5CDD505-2E9C-101B-9397-08002B2CF9AE}" pid="18" name="status">
    <vt:lpwstr>Active</vt:lpwstr>
  </property>
  <property fmtid="{D5CDD505-2E9C-101B-9397-08002B2CF9AE}" pid="19" name="subtitle">
    <vt:lpwstr>The authorization boundary is gone, GCC was never the boundary agencies think it is, and Microsoft is now certifying GCC at High — three facts that change what is worth asking for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1.2</vt:lpwstr>
  </property>
</Properties>
</file>