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Field Office WAN Transformation and Distribution Point Consolidation</w:t>
      </w:r>
    </w:p>
    <w:p>
      <w:pPr>
        <w:pStyle w:val="Subtitle"/>
      </w:pPr>
      <w:r>
        <w:t xml:space="preserve">An alternative to a proposed $50M distribution point hardware refresh across 1,500 field offices — SD-WAN, dedicated internet access, and a 12-hub content tier, sized against Configuration Manager’s own published capacity limits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6" w:name="Xf1972aa56c6a38566110f36a19482da38ecae3b"/>
    <w:p>
      <w:pPr>
        <w:pStyle w:val="Heading1"/>
      </w:pPr>
      <w:r>
        <w:t xml:space="preserve">Field Office WAN Transformation and Distribution Point Consolidation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A proposed ~$50M refresh of Configuration Manager distribution</w:t>
            </w:r>
            <w:r>
              <w:t xml:space="preserve"> </w:t>
            </w:r>
            <w:r>
              <w:t xml:space="preserve">points at roughly 1,500 field offices spends $33,333 per office on a tier the</w:t>
            </w:r>
            <w:r>
              <w:t xml:space="preserve"> </w:t>
            </w:r>
            <w:r>
              <w:t xml:space="preserve">agency has already decided to retire — and the 1,476 distribution points</w:t>
            </w:r>
            <w:r>
              <w:t xml:space="preserve"> </w:t>
            </w:r>
            <w:r>
              <w:t xml:space="preserve">beyond what capacity requires exist only to work around constrained branch</w:t>
            </w:r>
            <w:r>
              <w:t xml:space="preserve"> </w:t>
            </w:r>
            <w:r>
              <w:t xml:space="preserve">circuits.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Fix the transport instead: SD-WAN with dedicated internet access</w:t>
            </w:r>
            <w:r>
              <w:t xml:space="preserve"> </w:t>
            </w:r>
            <w:r>
              <w:t xml:space="preserve">and 5G secondary paths at every office, TIC 3.0 branch breakout, and a 12-hub</w:t>
            </w:r>
            <w:r>
              <w:t xml:space="preserve"> </w:t>
            </w:r>
            <w:r>
              <w:t xml:space="preserve">content tier of 24 distribution points sized to Microsoft’s published</w:t>
            </w:r>
            <w:r>
              <w:t xml:space="preserve"> </w:t>
            </w:r>
            <w:r>
              <w:t xml:space="preserve">4,000-client ceiling. Roughly $10.0M first-year capital and $15.7M</w:t>
            </w:r>
            <w:r>
              <w:t xml:space="preserve"> </w:t>
            </w:r>
            <w:r>
              <w:t xml:space="preserve">recurring, cash-positive above $873 per site per month of current MPLS spend</w:t>
            </w:r>
            <w:r>
              <w:t xml:space="preserve"> </w:t>
            </w:r>
            <w:r>
              <w:t xml:space="preserve">— and a prerequisite for the Intune migration already underway.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Defer the $50M refresh pending a network modernization assessment;</w:t>
            </w:r>
            <w:r>
              <w:t xml:space="preserve"> </w:t>
            </w:r>
            <w:r>
              <w:t xml:space="preserve">require the sponsor to state whether $50M is acquisition cost or five-year</w:t>
            </w:r>
            <w:r>
              <w:t xml:space="preserve"> </w:t>
            </w:r>
            <w:r>
              <w:t xml:space="preserve">total cost of ownership; validate the nine assumptions in §9, starting with</w:t>
            </w:r>
            <w:r>
              <w:t xml:space="preserve"> </w:t>
            </w:r>
            <w:r>
              <w:t xml:space="preserve">current MPLS cost per site, on which the financial case turns; and fund Phase</w:t>
            </w:r>
            <w:r>
              <w:t xml:space="preserve"> </w:t>
            </w:r>
            <w:r>
              <w:t xml:space="preserve">0 (~$1.8M, six months) for the architecture, the TIC 3.0 accreditation</w:t>
            </w:r>
            <w:r>
              <w:t xml:space="preserve"> </w:t>
            </w:r>
            <w:r>
              <w:t xml:space="preserve">package, and a ten-site pilot.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Read this first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Every cost figure in this paper is an indicative planning estimate derived</w:t>
            </w:r>
            <w:r>
              <w:t xml:space="preserve"> </w:t>
            </w:r>
            <w:r>
              <w:t xml:space="preserve">from published list pricing and industry benchmarks. None is a quote.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financial case rests on one number this paper does not yet hold:</w:t>
            </w:r>
            <w:r>
              <w:t xml:space="preserve"> </w:t>
            </w:r>
            <w:r>
              <w:t xml:space="preserve">current MPLS cost per field office per month. Section 9 identifies this</w:t>
            </w:r>
            <w:r>
              <w:t xml:space="preserve"> </w:t>
            </w:r>
            <w:r>
              <w:t xml:space="preserve">and eight other assumptions that must be validated before any figure here</w:t>
            </w:r>
            <w:r>
              <w:t xml:space="preserve"> </w:t>
            </w:r>
            <w:r>
              <w:t xml:space="preserve">is used in a budget submission.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whitepaper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proposal is under consideration to invest approximately $50,000,000</w:t>
            </w:r>
            <w:r>
              <w:t xml:space="preserve"> </w:t>
            </w:r>
            <w:r>
              <w:t xml:space="preserve">refreshing Configuration Manager distribution point hardware at roughly</w:t>
            </w:r>
            <w:r>
              <w:t xml:space="preserve"> </w:t>
            </w:r>
            <w:r>
              <w:t xml:space="preserve">1,500 field offices. This paper argues the investment addresses a symptom</w:t>
            </w:r>
            <w:r>
              <w:t xml:space="preserve"> </w:t>
            </w:r>
            <w:r>
              <w:t xml:space="preserve">rather than a cause, targets a tier the agency has already decided to</w:t>
            </w:r>
            <w:r>
              <w:t xml:space="preserve"> </w:t>
            </w:r>
            <w:r>
              <w:t xml:space="preserve">retire, and can be replaced by a network modernization program that costs</w:t>
            </w:r>
            <w:r>
              <w:t xml:space="preserve"> </w:t>
            </w:r>
            <w:r>
              <w:t xml:space="preserve">less, delivers more, and is a prerequisite for the Microsoft Intune</w:t>
            </w:r>
            <w:r>
              <w:t xml:space="preserve"> </w:t>
            </w:r>
            <w:r>
              <w:t xml:space="preserve">migration already underway.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paper shares its transport argument with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SD-WAN vs. DIA Under TIC 3.0</w:t>
              </w:r>
            </w:hyperlink>
            <w:r>
              <w:t xml:space="preserve"> </w:t>
            </w:r>
            <w:r>
              <w:t xml:space="preserve">and its INR/GCC</w:t>
            </w:r>
            <w:r>
              <w:t xml:space="preserve"> </w:t>
            </w:r>
            <w:r>
              <w:t xml:space="preserve">finding with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Next Generation DNS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both are cited rather than re-derived. Its own contribution is the</w:t>
            </w:r>
            <w:r>
              <w:t xml:space="preserve"> </w:t>
            </w:r>
            <w:r>
              <w:t xml:space="preserve">distribution-point unit-economics argument in Sections 2–3, the</w:t>
            </w:r>
            <w:r>
              <w:t xml:space="preserve"> </w:t>
            </w:r>
            <w:r>
              <w:t xml:space="preserve">distribution-point-vs.-Intune compliance comparison in Section 3.4</w:t>
            </w:r>
            <w:r>
              <w:t xml:space="preserve"> </w:t>
            </w:r>
            <w:r>
              <w:t xml:space="preserve">(detailed in Appendix A.1), the gated (not calendar-based) all-in</w:t>
            </w:r>
            <w:r>
              <w:t xml:space="preserve"> </w:t>
            </w:r>
            <w:r>
              <w:t xml:space="preserve">cutover trigger in Section 4.7, and the compliance/reporting case for</w:t>
            </w:r>
            <w:r>
              <w:t xml:space="preserve"> </w:t>
            </w:r>
            <w:r>
              <w:t xml:space="preserve">SD-WAN and TIC 3.0 that holds independent of the cost model, in</w:t>
            </w:r>
            <w:r>
              <w:t xml:space="preserve"> </w:t>
            </w:r>
            <w:r>
              <w:t xml:space="preserve">Section 4.8 (detailed in Appendix A.2) — none of which are covered</w:t>
            </w:r>
            <w:r>
              <w:t xml:space="preserve"> </w:t>
            </w:r>
            <w:r>
              <w:t xml:space="preserve">elsewhere in this corpus.</w:t>
            </w:r>
          </w:p>
          <w:p/>
        </w:tc>
      </w:tr>
    </w:tbl>
    <w:bookmarkStart w:id="26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proposal, its rationale, and this paper’s counter-argument are</w:t>
      </w:r>
      <w:r>
        <w:t xml:space="preserve"> </w:t>
      </w:r>
      <w:r>
        <w:t xml:space="preserve">summarized in the box above. The five findings below are that</w:t>
      </w:r>
      <w:r>
        <w:t xml:space="preserve"> </w:t>
      </w:r>
      <w:r>
        <w:t xml:space="preserve">argument’s evidentiary basis — the unit economics, the capacity math,</w:t>
      </w:r>
      <w:r>
        <w:t xml:space="preserve"> </w:t>
      </w:r>
      <w:r>
        <w:t xml:space="preserve">and the cost model that Sections 2 through 6 develop in full.</w:t>
      </w:r>
    </w:p>
    <w:bookmarkStart w:id="21" w:name="findings"/>
    <w:p>
      <w:pPr>
        <w:pStyle w:val="Heading3"/>
      </w:pPr>
      <w:r>
        <w:t xml:space="preserve">Findings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The unit economics do not support the estimate.</w:t>
      </w:r>
      <w:r>
        <w:t xml:space="preserve"> </w:t>
      </w:r>
      <w:r>
        <w:t xml:space="preserve">$50M across 1,500</w:t>
      </w:r>
      <w:r>
        <w:t xml:space="preserve"> </w:t>
      </w:r>
      <w:r>
        <w:t xml:space="preserve">sites is $33,333 per office, against $3,500 to $12,000 for a</w:t>
      </w:r>
      <w:r>
        <w:t xml:space="preserve"> </w:t>
      </w:r>
      <w:r>
        <w:t xml:space="preserve">correctly specified distribution point. The figure is either a</w:t>
      </w:r>
      <w:r>
        <w:t xml:space="preserve"> </w:t>
      </w:r>
      <w:r>
        <w:t xml:space="preserve">five-year total cost of ownership presented as an equipment refresh,</w:t>
      </w:r>
      <w:r>
        <w:t xml:space="preserve"> </w:t>
      </w:r>
      <w:r>
        <w:t xml:space="preserve">or it bundles scope that is not a distribution point.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Capacity requires 24 distribution points, not 1,500.</w:t>
      </w:r>
      <w:r>
        <w:t xml:space="preserve"> </w:t>
      </w:r>
      <w:r>
        <w:t xml:space="preserve">Microsoft</w:t>
      </w:r>
      <w:r>
        <w:t xml:space="preserve"> </w:t>
      </w:r>
      <w:r>
        <w:t xml:space="preserve">documents a ceiling of 4,000 clients per distribution point.</w:t>
      </w:r>
      <w:r>
        <w:rPr>
          <w:rStyle w:val="FootnoteReference"/>
        </w:rPr>
        <w:footnoteReference w:id="19"/>
      </w:r>
      <w:r>
        <w:t xml:space="preserve"> </w:t>
      </w:r>
      <w:r>
        <w:t xml:space="preserve">At an estimated 70,000 endpoints, capacity is satisfied by 24</w:t>
      </w:r>
      <w:r>
        <w:t xml:space="preserve"> </w:t>
      </w:r>
      <w:r>
        <w:t xml:space="preserve">distribution points across 12 hub sites — a 98.4% reduction.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The remaining 1,476 exist to work around constrained branch</w:t>
      </w:r>
      <w:r>
        <w:rPr>
          <w:b/>
          <w:bCs/>
        </w:rPr>
        <w:t xml:space="preserve"> </w:t>
      </w:r>
      <w:r>
        <w:rPr>
          <w:b/>
          <w:bCs/>
        </w:rPr>
        <w:t xml:space="preserve">circuits.</w:t>
      </w:r>
      <w:r>
        <w:t xml:space="preserve"> </w:t>
      </w:r>
      <w:r>
        <w:t xml:space="preserve">Distribution point count at this scale is driven entirely</w:t>
      </w:r>
      <w:r>
        <w:t xml:space="preserve"> </w:t>
      </w:r>
      <w:r>
        <w:t xml:space="preserve">by network topology, never by Configuration Manager capacity. The</w:t>
      </w:r>
      <w:r>
        <w:t xml:space="preserve"> </w:t>
      </w:r>
      <w:r>
        <w:t xml:space="preserve">correct response is to fix the network.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Network modernization is cheaper and may be cash-positive.</w:t>
      </w:r>
      <w:r>
        <w:t xml:space="preserve"> </w:t>
      </w:r>
      <w:r>
        <w:t xml:space="preserve">An</w:t>
      </w:r>
      <w:r>
        <w:t xml:space="preserve"> </w:t>
      </w:r>
      <w:r>
        <w:t xml:space="preserve">SD-WAN overlay with dedicated internet access and 5G secondary paths</w:t>
      </w:r>
      <w:r>
        <w:t xml:space="preserve"> </w:t>
      </w:r>
      <w:r>
        <w:t xml:space="preserve">at all 1,500 offices requires roughly $10.0M in first-year capital</w:t>
      </w:r>
      <w:r>
        <w:t xml:space="preserve"> </w:t>
      </w:r>
      <w:r>
        <w:t xml:space="preserve">and $15.7M recurring. Above $873 per site per month of current MPLS</w:t>
      </w:r>
      <w:r>
        <w:t xml:space="preserve"> </w:t>
      </w:r>
      <w:r>
        <w:t xml:space="preserve">spend, the program funds itself.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The same 12 hub sites serve three programs.</w:t>
      </w:r>
      <w:r>
        <w:t xml:space="preserve"> </w:t>
      </w:r>
      <w:r>
        <w:t xml:space="preserve">SD-WAN aggregation,</w:t>
      </w:r>
      <w:r>
        <w:t xml:space="preserve"> </w:t>
      </w:r>
      <w:r>
        <w:t xml:space="preserve">regional internet breakout, and the consolidated content tier</w:t>
      </w:r>
      <w:r>
        <w:t xml:space="preserve"> </w:t>
      </w:r>
      <w:r>
        <w:t xml:space="preserve">co-locate at one set of facilities under one accreditation boundary</w:t>
      </w:r>
      <w:r>
        <w:t xml:space="preserve"> </w:t>
      </w:r>
      <w:r>
        <w:t xml:space="preserve">— and become the Microsoft Connected Cache footprint as co-management</w:t>
      </w:r>
      <w:r>
        <w:t xml:space="preserve"> </w:t>
      </w:r>
      <w:r>
        <w:t xml:space="preserve">matures.</w:t>
      </w:r>
    </w:p>
    <w:bookmarkEnd w:id="21"/>
    <w:bookmarkStart w:id="25" w:name="headline-comparison"/>
    <w:p>
      <w:pPr>
        <w:pStyle w:val="Heading3"/>
      </w:pPr>
      <w:r>
        <w:t xml:space="preserve">Headline comparison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Yr 1 capital</w:t>
            </w:r>
          </w:p>
        </w:tc>
        <w:tc>
          <w:tcPr/>
          <w:p>
            <w:pPr>
              <w:pStyle w:val="Compact"/>
            </w:pPr>
            <w:r>
              <w:t xml:space="preserve">5-yr net</w:t>
            </w:r>
          </w:p>
        </w:tc>
        <w:tc>
          <w:tcPr/>
          <w:p>
            <w:pPr>
              <w:pStyle w:val="Compact"/>
            </w:pPr>
            <w:r>
              <w:t xml:space="preserve">What it delivers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Distribution point refresh (proposed)</w:t>
            </w:r>
          </w:p>
        </w:tc>
        <w:tc>
          <w:tcPr/>
          <w:p>
            <w:pPr>
              <w:pStyle w:val="Compact"/>
            </w:pPr>
            <w:r>
              <w:t xml:space="preserve">$50.0M</w:t>
            </w:r>
          </w:p>
        </w:tc>
        <w:tc>
          <w:tcPr/>
          <w:p>
            <w:pPr>
              <w:pStyle w:val="Compact"/>
            </w:pPr>
            <w:r>
              <w:t xml:space="preserve">−$50.0M</w:t>
            </w:r>
          </w:p>
        </w:tc>
        <w:tc>
          <w:tcPr/>
          <w:p>
            <w:pPr>
              <w:pStyle w:val="Compact"/>
            </w:pPr>
            <w:r>
              <w:t xml:space="preserve">Content delivery only; capital into a retiring tier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SD-WAN + DIA + 5G, DP consolidation</w:t>
            </w:r>
          </w:p>
        </w:tc>
        <w:tc>
          <w:tcPr/>
          <w:p>
            <w:pPr>
              <w:pStyle w:val="Compact"/>
            </w:pPr>
            <w:r>
              <w:t xml:space="preserve">$10.0M</w:t>
            </w:r>
          </w:p>
        </w:tc>
        <w:tc>
          <w:tcPr/>
          <w:p>
            <w:pPr>
              <w:pStyle w:val="Compact"/>
            </w:pPr>
            <w:r>
              <w:t xml:space="preserve">+$7.7M*</w:t>
            </w:r>
          </w:p>
        </w:tc>
        <w:tc>
          <w:tcPr/>
          <w:p>
            <w:pPr>
              <w:pStyle w:val="Compact"/>
            </w:pPr>
            <w:r>
              <w:t xml:space="preserve">Content, M365, Teams, video, Intune enablement, TIC 3.0 breakout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 nothing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Aging DPs, constrained branches, Intune migration blocked</w:t>
            </w:r>
          </w:p>
        </w:tc>
      </w:tr>
    </w:tbl>
    <w:p>
      <w:pPr>
        <w:pStyle w:val="BodyText"/>
      </w:pPr>
      <w:r>
        <w:rPr>
          <w:i/>
          <w:iCs/>
        </w:rPr>
        <w:t xml:space="preserve">Five-year positions assume phased migration with savings ramping from</w:t>
      </w:r>
      <w:r>
        <w:rPr>
          <w:i/>
          <w:iCs/>
        </w:rPr>
        <w:t xml:space="preserve"> </w:t>
      </w:r>
      <w:r>
        <w:rPr>
          <w:i/>
          <w:iCs/>
        </w:rPr>
        <w:t xml:space="preserve">year 2. *The network program’s 5-yr net additionally depends on</w:t>
      </w:r>
      <w:r>
        <w:rPr>
          <w:i/>
          <w:iCs/>
        </w:rPr>
        <w:t xml:space="preserve"> </w:t>
      </w:r>
      <w:r>
        <w:rPr>
          <w:i/>
          <w:iCs/>
        </w:rPr>
        <w:t xml:space="preserve">Assumption 1 (current MPLS cost per site — not yet validated; see</w:t>
      </w:r>
      <w:r>
        <w:rPr>
          <w:i/>
          <w:iCs/>
        </w:rPr>
        <w:t xml:space="preserve"> </w:t>
      </w:r>
      <w:r>
        <w:rPr>
          <w:i/>
          <w:iCs/>
        </w:rPr>
        <w:t xml:space="preserve">Section 9); it is a base-case figure, not a floor. Section 6 gives the</w:t>
      </w:r>
      <w:r>
        <w:rPr>
          <w:i/>
          <w:iCs/>
        </w:rPr>
        <w:t xml:space="preserve"> </w:t>
      </w:r>
      <w:r>
        <w:rPr>
          <w:i/>
          <w:iCs/>
        </w:rPr>
        <w:t xml:space="preserve">model and sensitivity 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Recommendation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Defer the $50M distribution point refresh pending completion of a</w:t>
            </w:r>
            <w:r>
              <w:t xml:space="preserve"> </w:t>
            </w:r>
            <w:r>
              <w:t xml:space="preserve">network modernization assessment.</w:t>
            </w:r>
          </w:p>
          <w:p>
            <w:pPr>
              <w:pStyle w:val="BodyText"/>
            </w:pPr>
            <w:r>
              <w:t xml:space="preserve">Fund a Phase 0 design and pilot (approximately $1.8M, six months)</w:t>
            </w:r>
            <w:r>
              <w:t xml:space="preserve"> </w:t>
            </w:r>
            <w:r>
              <w:t xml:space="preserve">covering architecture, the TIC 3.0 Branch Office accreditation package,</w:t>
            </w:r>
            <w:r>
              <w:t xml:space="preserve"> </w:t>
            </w:r>
            <w:r>
              <w:t xml:space="preserve">and a ten-site pilot spanning all transport types.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Validate the nine assumptions in Section 9 — beginning with current</w:t>
            </w:r>
            <w:r>
              <w:t xml:space="preserve"> </w:t>
            </w:r>
            <w:r>
              <w:t xml:space="preserve">MPLS cost per site, which determines whether this program is</w:t>
            </w:r>
            <w:r>
              <w:t xml:space="preserve"> </w:t>
            </w:r>
            <w:r>
              <w:t xml:space="preserve">cash-positive or net-new cost.</w:t>
            </w:r>
          </w:p>
          <w:p/>
        </w:tc>
      </w:tr>
    </w:tbl>
    <w:bookmarkEnd w:id="25"/>
    <w:bookmarkEnd w:id="26"/>
    <w:bookmarkStart w:id="30" w:name="purpose-and-scope"/>
    <w:p>
      <w:pPr>
        <w:pStyle w:val="Heading2"/>
      </w:pPr>
      <w:r>
        <w:t xml:space="preserve">1. Purpose and Scope</w:t>
      </w:r>
    </w:p>
    <w:p>
      <w:pPr>
        <w:pStyle w:val="FirstParagraph"/>
      </w:pPr>
      <w:r>
        <w:t xml:space="preserve">This paper evaluates a proposed capital investment in Configuration</w:t>
      </w:r>
      <w:r>
        <w:t xml:space="preserve"> </w:t>
      </w:r>
      <w:r>
        <w:t xml:space="preserve">Manager distribution point hardware at field offices and presents an</w:t>
      </w:r>
      <w:r>
        <w:t xml:space="preserve"> </w:t>
      </w:r>
      <w:r>
        <w:t xml:space="preserve">alternative architecture. It addresses three questions:</w:t>
      </w:r>
    </w:p>
    <w:p>
      <w:pPr>
        <w:pStyle w:val="Compact"/>
        <w:numPr>
          <w:ilvl w:val="0"/>
          <w:numId w:val="1002"/>
        </w:numPr>
      </w:pPr>
      <w:r>
        <w:t xml:space="preserve">Is a distribution point required at every field office?</w:t>
      </w:r>
    </w:p>
    <w:p>
      <w:pPr>
        <w:pStyle w:val="Compact"/>
        <w:numPr>
          <w:ilvl w:val="0"/>
          <w:numId w:val="1002"/>
        </w:numPr>
      </w:pPr>
      <w:r>
        <w:t xml:space="preserve">If not, how many are required, and where should they be placed?</w:t>
      </w:r>
    </w:p>
    <w:p>
      <w:pPr>
        <w:pStyle w:val="Compact"/>
        <w:numPr>
          <w:ilvl w:val="0"/>
          <w:numId w:val="1002"/>
        </w:numPr>
      </w:pPr>
      <w:r>
        <w:t xml:space="preserve">What network investment is required to make a consolidated content</w:t>
      </w:r>
      <w:r>
        <w:t xml:space="preserve"> </w:t>
      </w:r>
      <w:r>
        <w:t xml:space="preserve">tier viable, and how does its cost compare?</w:t>
      </w:r>
    </w:p>
    <w:bookmarkStart w:id="27" w:name="in-scope"/>
    <w:p>
      <w:pPr>
        <w:pStyle w:val="Heading3"/>
      </w:pPr>
      <w:r>
        <w:t xml:space="preserve">1.1 In scope</w:t>
      </w:r>
    </w:p>
    <w:p>
      <w:pPr>
        <w:pStyle w:val="Compact"/>
        <w:numPr>
          <w:ilvl w:val="0"/>
          <w:numId w:val="1003"/>
        </w:numPr>
      </w:pPr>
      <w:r>
        <w:t xml:space="preserve">Configuration Manager content distribution architecture for</w:t>
      </w:r>
      <w:r>
        <w:t xml:space="preserve"> </w:t>
      </w:r>
      <w:r>
        <w:t xml:space="preserve">approximately 1,500 field offices</w:t>
      </w:r>
    </w:p>
    <w:p>
      <w:pPr>
        <w:pStyle w:val="Compact"/>
        <w:numPr>
          <w:ilvl w:val="0"/>
          <w:numId w:val="1003"/>
        </w:numPr>
      </w:pPr>
      <w:r>
        <w:t xml:space="preserve">Branch wide-area network transport, edge platform, and secondary path</w:t>
      </w:r>
      <w:r>
        <w:t xml:space="preserve"> </w:t>
      </w:r>
      <w:r>
        <w:t xml:space="preserve">design</w:t>
      </w:r>
    </w:p>
    <w:p>
      <w:pPr>
        <w:pStyle w:val="Compact"/>
        <w:numPr>
          <w:ilvl w:val="0"/>
          <w:numId w:val="1003"/>
        </w:numPr>
      </w:pPr>
      <w:r>
        <w:t xml:space="preserve">Hub site count, placement rationale, and content tier sizing</w:t>
      </w:r>
    </w:p>
    <w:p>
      <w:pPr>
        <w:pStyle w:val="Compact"/>
        <w:numPr>
          <w:ilvl w:val="0"/>
          <w:numId w:val="1003"/>
        </w:numPr>
      </w:pPr>
      <w:r>
        <w:t xml:space="preserve">Comparative five-year cost model with sensitivity analysis</w:t>
      </w:r>
    </w:p>
    <w:p>
      <w:pPr>
        <w:pStyle w:val="Compact"/>
        <w:numPr>
          <w:ilvl w:val="0"/>
          <w:numId w:val="1003"/>
        </w:numPr>
      </w:pPr>
      <w:r>
        <w:t xml:space="preserve">Transition alignment with the Microsoft Intune migration and</w:t>
      </w:r>
      <w:r>
        <w:t xml:space="preserve"> </w:t>
      </w:r>
      <w:r>
        <w:t xml:space="preserve">co-management program</w:t>
      </w:r>
    </w:p>
    <w:bookmarkEnd w:id="27"/>
    <w:bookmarkStart w:id="28" w:name="out-of-scope"/>
    <w:p>
      <w:pPr>
        <w:pStyle w:val="Heading3"/>
      </w:pPr>
      <w:r>
        <w:t xml:space="preserve">1.2 Out of scope</w:t>
      </w:r>
    </w:p>
    <w:p>
      <w:pPr>
        <w:pStyle w:val="Compact"/>
        <w:numPr>
          <w:ilvl w:val="0"/>
          <w:numId w:val="1004"/>
        </w:numPr>
      </w:pPr>
      <w:r>
        <w:t xml:space="preserve">Air-gapped and separately accredited enclaves. These retain</w:t>
      </w:r>
      <w:r>
        <w:t xml:space="preserve"> </w:t>
      </w:r>
      <w:r>
        <w:t xml:space="preserve">Configuration Manager and local distribution points indefinitely and</w:t>
      </w:r>
      <w:r>
        <w:t xml:space="preserve"> </w:t>
      </w:r>
      <w:r>
        <w:t xml:space="preserve">are unaffected by anything in this paper.</w:t>
      </w:r>
    </w:p>
    <w:p>
      <w:pPr>
        <w:pStyle w:val="Compact"/>
        <w:numPr>
          <w:ilvl w:val="0"/>
          <w:numId w:val="1004"/>
        </w:numPr>
      </w:pPr>
      <w:r>
        <w:t xml:space="preserve">Data center and headquarters campus network design</w:t>
      </w:r>
    </w:p>
    <w:p>
      <w:pPr>
        <w:pStyle w:val="Compact"/>
        <w:numPr>
          <w:ilvl w:val="0"/>
          <w:numId w:val="1004"/>
        </w:numPr>
      </w:pPr>
      <w:r>
        <w:t xml:space="preserve">Endpoint hardware refresh, application packaging, and Intune workload</w:t>
      </w:r>
      <w:r>
        <w:t xml:space="preserve"> </w:t>
      </w:r>
      <w:r>
        <w:t xml:space="preserve">migration sequencing</w:t>
      </w:r>
    </w:p>
    <w:p>
      <w:pPr>
        <w:pStyle w:val="Compact"/>
        <w:numPr>
          <w:ilvl w:val="0"/>
          <w:numId w:val="1004"/>
        </w:numPr>
      </w:pPr>
      <w:r>
        <w:t xml:space="preserve">Voice, contact center, and physical security network requirements</w:t>
      </w:r>
    </w:p>
    <w:bookmarkEnd w:id="28"/>
    <w:bookmarkStart w:id="29" w:name="cloud-environment-constraint"/>
    <w:p>
      <w:pPr>
        <w:pStyle w:val="Heading3"/>
      </w:pPr>
      <w:r>
        <w:t xml:space="preserve">1.3 Cloud environment constraint</w:t>
      </w:r>
    </w:p>
    <w:p>
      <w:pPr>
        <w:pStyle w:val="FirstParagraph"/>
      </w:pPr>
      <w:r>
        <w:t xml:space="preserve">All cloud-dependent elements are scoped exclusively to Microsoft 365</w:t>
      </w:r>
      <w:r>
        <w:t xml:space="preserve"> </w:t>
      </w:r>
      <w:r>
        <w:t xml:space="preserve">Government Community Cloud (GCC), aligned to FedRAMP Moderate. No</w:t>
      </w:r>
      <w:r>
        <w:t xml:space="preserve"> </w:t>
      </w:r>
      <w:r>
        <w:t xml:space="preserve">element of this design depends on GCC High, Department of Defense, or</w:t>
      </w:r>
      <w:r>
        <w:t xml:space="preserve"> </w:t>
      </w:r>
      <w:r>
        <w:t xml:space="preserve">commercial cloud tenancy. This constraint is favorable for most Intune</w:t>
      </w:r>
      <w:r>
        <w:t xml:space="preserve"> </w:t>
      </w:r>
      <w:r>
        <w:t xml:space="preserve">capability: documented Microsoft Intune feature gaps concentrate in GCC</w:t>
      </w:r>
      <w:r>
        <w:t xml:space="preserve"> </w:t>
      </w:r>
      <w:r>
        <w:t xml:space="preserve">High and DoD environments, while GCC feature availability tracks</w:t>
      </w:r>
      <w:r>
        <w:t xml:space="preserve"> </w:t>
      </w:r>
      <w:r>
        <w:t xml:space="preserve">substantially closer to commercial.</w:t>
      </w:r>
    </w:p>
    <w:p>
      <w:pPr>
        <w:pStyle w:val="BodyText"/>
      </w:pPr>
      <w:r>
        <w:t xml:space="preserve">One named exception applies, and it is addressed directly rather than</w:t>
      </w:r>
      <w:r>
        <w:t xml:space="preserve"> </w:t>
      </w:r>
      <w:r>
        <w:t xml:space="preserve">left open: Microsoft 365 Informed Network Routing does not extend to</w:t>
      </w:r>
      <w:r>
        <w:t xml:space="preserve"> </w:t>
      </w:r>
      <w:r>
        <w:t xml:space="preserve">this environment. Section 4.6 states the finding and its source.</w:t>
      </w:r>
    </w:p>
    <w:bookmarkEnd w:id="29"/>
    <w:bookmarkEnd w:id="30"/>
    <w:bookmarkStart w:id="37" w:name="the-proposal-under-review"/>
    <w:p>
      <w:pPr>
        <w:pStyle w:val="Heading2"/>
      </w:pPr>
      <w:r>
        <w:t xml:space="preserve">2. The Proposal Under Review</w:t>
      </w:r>
    </w:p>
    <w:p>
      <w:pPr>
        <w:pStyle w:val="FirstParagraph"/>
      </w:pPr>
      <w:r>
        <w:t xml:space="preserve">The proposal requests approximately $50,000,000 to refresh</w:t>
      </w:r>
      <w:r>
        <w:t xml:space="preserve"> </w:t>
      </w:r>
      <w:r>
        <w:t xml:space="preserve">Configuration Manager distribution point hardware across the field</w:t>
      </w:r>
      <w:r>
        <w:t xml:space="preserve"> </w:t>
      </w:r>
      <w:r>
        <w:t xml:space="preserve">office estate. Divided across 1,500 offices, this is $33,333 per site.</w:t>
      </w:r>
    </w:p>
    <w:bookmarkStart w:id="33" w:name="unit-cost-reconciliation"/>
    <w:p>
      <w:pPr>
        <w:pStyle w:val="Heading3"/>
      </w:pPr>
      <w:r>
        <w:t xml:space="preserve">2.1 Unit cost reconciliation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Configuration</w:t>
            </w:r>
          </w:p>
        </w:tc>
        <w:tc>
          <w:tcPr/>
          <w:p>
            <w:pPr>
              <w:pStyle w:val="Compact"/>
            </w:pPr>
            <w:r>
              <w:t xml:space="preserve">Unit cost</w:t>
            </w:r>
          </w:p>
        </w:tc>
        <w:tc>
          <w:tcPr/>
          <w:p>
            <w:pPr>
              <w:pStyle w:val="Compact"/>
            </w:pPr>
            <w:r>
              <w:t xml:space="preserve">× 1,500</w:t>
            </w:r>
          </w:p>
        </w:tc>
        <w:tc>
          <w:tcPr/>
          <w:p>
            <w:pPr>
              <w:pStyle w:val="Compact"/>
            </w:pPr>
            <w:r>
              <w:t xml:space="preserve">Assessment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Micro form factor PC, right-sized</w:t>
            </w:r>
          </w:p>
        </w:tc>
        <w:tc>
          <w:tcPr/>
          <w:p>
            <w:pPr>
              <w:pStyle w:val="Compact"/>
            </w:pPr>
            <w:r>
              <w:t xml:space="preserve">$3,500</w:t>
            </w:r>
          </w:p>
        </w:tc>
        <w:tc>
          <w:tcPr/>
          <w:p>
            <w:pPr>
              <w:pStyle w:val="Compact"/>
            </w:pPr>
            <w:r>
              <w:t xml:space="preserve">$5.3M</w:t>
            </w:r>
          </w:p>
        </w:tc>
        <w:tc>
          <w:tcPr/>
          <w:p>
            <w:pPr>
              <w:pStyle w:val="Compact"/>
            </w:pPr>
            <w:r>
              <w:t xml:space="preserve">Adequate for a small branch; no ECC or out-of-band management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1U rack server, ECC, iDRAC, redundant PSU</w:t>
            </w:r>
          </w:p>
        </w:tc>
        <w:tc>
          <w:tcPr/>
          <w:p>
            <w:pPr>
              <w:pStyle w:val="Compact"/>
            </w:pPr>
            <w:r>
              <w:t xml:space="preserve">$12,000</w:t>
            </w:r>
          </w:p>
        </w:tc>
        <w:tc>
          <w:tcPr/>
          <w:p>
            <w:pPr>
              <w:pStyle w:val="Compact"/>
            </w:pPr>
            <w:r>
              <w:t xml:space="preserve">$18.0M</w:t>
            </w:r>
          </w:p>
        </w:tc>
        <w:tc>
          <w:tcPr/>
          <w:p>
            <w:pPr>
              <w:pStyle w:val="Compact"/>
            </w:pPr>
            <w:r>
              <w:t xml:space="preserve">Appropriate server-class platform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1U server plus $4,000 per-site deployment</w:t>
            </w:r>
          </w:p>
        </w:tc>
        <w:tc>
          <w:tcPr/>
          <w:p>
            <w:pPr>
              <w:pStyle w:val="Compact"/>
            </w:pPr>
            <w:r>
              <w:t xml:space="preserve">$16,000</w:t>
            </w:r>
          </w:p>
        </w:tc>
        <w:tc>
          <w:tcPr/>
          <w:p>
            <w:pPr>
              <w:pStyle w:val="Compact"/>
            </w:pPr>
            <w:r>
              <w:t xml:space="preserve">$24.0M</w:t>
            </w:r>
          </w:p>
        </w:tc>
        <w:tc>
          <w:tcPr/>
          <w:p>
            <w:pPr>
              <w:pStyle w:val="Compact"/>
            </w:pPr>
            <w:r>
              <w:t xml:space="preserve">Includes field installation labor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Proposed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$33,333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$50.0M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Approximately 2x the fully loaded server case</w:t>
            </w:r>
          </w:p>
        </w:tc>
      </w:tr>
    </w:tbl>
    <w:p>
      <w:pPr>
        <w:pStyle w:val="BodyText"/>
      </w:pPr>
      <w:r>
        <w:t xml:space="preserve">The gap indicates one of two things, and the distinction is material to</w:t>
      </w:r>
      <w:r>
        <w:t xml:space="preserve"> </w:t>
      </w:r>
      <w:r>
        <w:t xml:space="preserve">any comparison: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 five-year total cost of ownership presented as an equipment</w:t>
      </w:r>
      <w:r>
        <w:rPr>
          <w:b/>
          <w:bCs/>
        </w:rPr>
        <w:t xml:space="preserve"> </w:t>
      </w:r>
      <w:r>
        <w:rPr>
          <w:b/>
          <w:bCs/>
        </w:rPr>
        <w:t xml:space="preserve">refresh.</w:t>
      </w:r>
      <w:r>
        <w:t xml:space="preserve"> </w:t>
      </w:r>
      <w:r>
        <w:t xml:space="preserve">Plausible: hardware, warranty extension, deployment labor</w:t>
      </w:r>
      <w:r>
        <w:t xml:space="preserve"> </w:t>
      </w:r>
      <w:r>
        <w:t xml:space="preserve">across 1,500 dispersed sites, compliance sustainment, and contractor</w:t>
      </w:r>
      <w:r>
        <w:t xml:space="preserve"> </w:t>
      </w:r>
      <w:r>
        <w:t xml:space="preserve">overhead reach this figure. If so, the alternative must be compared on</w:t>
      </w:r>
      <w:r>
        <w:t xml:space="preserve"> </w:t>
      </w:r>
      <w:r>
        <w:t xml:space="preserve">a total cost of ownership basis, which Section 6 provides.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Bundled scope beyond the distribution point.</w:t>
      </w:r>
      <w:r>
        <w:t xml:space="preserve"> </w:t>
      </w:r>
      <w:r>
        <w:t xml:space="preserve">Circuit upgrades,</w:t>
      </w:r>
      <w:r>
        <w:t xml:space="preserve"> </w:t>
      </w:r>
      <w:r>
        <w:t xml:space="preserve">branch switching, uninterruptible power, or racks. All legitimate to</w:t>
      </w:r>
      <w:r>
        <w:t xml:space="preserve"> </w:t>
      </w:r>
      <w:r>
        <w:t xml:space="preserve">fund; none of them is a distribution point, and each should be</w:t>
      </w:r>
      <w:r>
        <w:t xml:space="preserve"> </w:t>
      </w:r>
      <w:r>
        <w:t xml:space="preserve">evaluated on its own merits.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Decomposition request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Before any comparison is credible, the sponsoring organization should</w:t>
            </w:r>
            <w:r>
              <w:t xml:space="preserve"> </w:t>
            </w:r>
            <w:r>
              <w:t xml:space="preserve">state whether the $50M figure is acquisition cost or five-year total</w:t>
            </w:r>
            <w:r>
              <w:t xml:space="preserve"> </w:t>
            </w:r>
            <w:r>
              <w:t xml:space="preserve">cost of ownership, and itemize any scope beyond the distribution point</w:t>
            </w:r>
            <w:r>
              <w:t xml:space="preserve"> </w:t>
            </w:r>
            <w:r>
              <w:t xml:space="preserve">itself.</w:t>
            </w:r>
          </w:p>
          <w:p/>
        </w:tc>
      </w:tr>
    </w:tbl>
    <w:bookmarkEnd w:id="33"/>
    <w:bookmarkStart w:id="36" w:name="the-timing-problem"/>
    <w:p>
      <w:pPr>
        <w:pStyle w:val="Heading3"/>
      </w:pPr>
      <w:r>
        <w:t xml:space="preserve">2.2 The timing problem</w:t>
      </w:r>
    </w:p>
    <w:p>
      <w:pPr>
        <w:pStyle w:val="FirstParagraph"/>
      </w:pPr>
      <w:r>
        <w:t xml:space="preserve">Independent of unit cost, the investment is directed at an</w:t>
      </w:r>
      <w:r>
        <w:t xml:space="preserve"> </w:t>
      </w:r>
      <w:r>
        <w:t xml:space="preserve">infrastructure tier the agency has already decided to reduce. The</w:t>
      </w:r>
      <w:r>
        <w:t xml:space="preserve"> </w:t>
      </w:r>
      <w:r>
        <w:t xml:space="preserve">endpoint management strategy is a migration to Microsoft Intune, and</w:t>
      </w:r>
      <w:r>
        <w:t xml:space="preserve"> </w:t>
      </w:r>
      <w:r>
        <w:t xml:space="preserve">Microsoft has been explicit about the platform direction: Intune</w:t>
      </w:r>
      <w:r>
        <w:t xml:space="preserve"> </w:t>
      </w:r>
      <w:r>
        <w:t xml:space="preserve">receives all new device management innovation, while Configuration</w:t>
      </w:r>
      <w:r>
        <w:t xml:space="preserve"> </w:t>
      </w:r>
      <w:r>
        <w:t xml:space="preserve">Manager continues to serve on-premises devices with a focus on security,</w:t>
      </w:r>
      <w:r>
        <w:t xml:space="preserve"> </w:t>
      </w:r>
      <w:r>
        <w:t xml:space="preserve">stability, and long-term support. Configuration Manager moves to an</w:t>
      </w:r>
      <w:r>
        <w:t xml:space="preserve"> </w:t>
      </w:r>
      <w:r>
        <w:t xml:space="preserve">annual release cadence beginning with version 2609 in September 2026.</w:t>
      </w:r>
    </w:p>
    <w:p>
      <w:pPr>
        <w:pStyle w:val="BodyText"/>
      </w:pPr>
      <w:r>
        <w:t xml:space="preserve">Configuration Manager is not end-of-life, and the distribution point</w:t>
      </w:r>
      <w:r>
        <w:t xml:space="preserve"> </w:t>
      </w:r>
      <w:r>
        <w:t xml:space="preserve">role is not deprecated. But hardware purchased in FY26 depreciates</w:t>
      </w:r>
      <w:r>
        <w:t xml:space="preserve"> </w:t>
      </w:r>
      <w:r>
        <w:t xml:space="preserve">through FY31. If the co-management program completes within three to</w:t>
      </w:r>
      <w:r>
        <w:t xml:space="preserve"> </w:t>
      </w:r>
      <w:r>
        <w:t xml:space="preserve">four years, the agency will have funded 1,500 devices for one to two</w:t>
      </w:r>
      <w:r>
        <w:t xml:space="preserve"> </w:t>
      </w:r>
      <w:r>
        <w:t xml:space="preserve">years beyond their usefulness and will own the disposal cost.</w:t>
      </w:r>
    </w:p>
    <w:p>
      <w:pPr>
        <w:pStyle w:val="BodyText"/>
      </w:pPr>
      <w:r>
        <w:t xml:space="preserve">This is also a doctrine question, not only a depreciation question.</w:t>
      </w:r>
      <w:r>
        <w:t xml:space="preserve"> </w:t>
      </w:r>
      <w:r>
        <w:t xml:space="preserve">FMP’s Intune-First Asset Onboarding doctrine (the program decision) prohibits</w:t>
      </w:r>
      <w:r>
        <w:t xml:space="preserve"> </w:t>
      </w:r>
      <w:r>
        <w:t xml:space="preserve">net-new SCCM co-management deployments for new endpoints — existing</w:t>
      </w:r>
      <w:r>
        <w:t xml:space="preserve"> </w:t>
      </w:r>
      <w:r>
        <w:t xml:space="preserve">co-management workloads continue under their migration path, but new</w:t>
      </w:r>
      <w:r>
        <w:t xml:space="preserve"> </w:t>
      </w:r>
      <w:r>
        <w:t xml:space="preserve">workloads must enter Intune-first. The 24-distribution-point content</w:t>
      </w:r>
      <w:r>
        <w:t xml:space="preserve"> </w:t>
      </w:r>
      <w:r>
        <w:t xml:space="preserve">tier proposed in Section 4 is sized to consolidate the</w:t>
      </w:r>
      <w:r>
        <w:t xml:space="preserve"> </w:t>
      </w:r>
      <w:r>
        <w:rPr>
          <w:i/>
          <w:iCs/>
        </w:rPr>
        <w:t xml:space="preserve">existing</w:t>
      </w:r>
      <w:r>
        <w:t xml:space="preserve"> </w:t>
      </w:r>
      <w:r>
        <w:t xml:space="preserve">1,500-site footprint, not to expand it; any budget submission built on</w:t>
      </w:r>
      <w:r>
        <w:t xml:space="preserve"> </w:t>
      </w:r>
      <w:r>
        <w:t xml:space="preserve">this paper should state that framing explicitly so it reads as</w:t>
      </w:r>
      <w:r>
        <w:t xml:space="preserve"> </w:t>
      </w:r>
      <w:r>
        <w:t xml:space="preserve">compliant with, rather than in tension with, that doctrine.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question that sizes the requirement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What is the planned distribution point count at the completion of the</w:t>
            </w:r>
            <w:r>
              <w:t xml:space="preserve"> </w:t>
            </w:r>
            <w:r>
              <w:t xml:space="preserve">co-management program, and in what fiscal year?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this cannot be answered, the refresh cannot be sized — a refresh</w:t>
            </w:r>
            <w:r>
              <w:t xml:space="preserve"> </w:t>
            </w:r>
            <w:r>
              <w:t xml:space="preserve">requires a target inventory. If the answer is a number materially</w:t>
            </w:r>
            <w:r>
              <w:t xml:space="preserve"> </w:t>
            </w:r>
            <w:r>
              <w:t xml:space="preserve">below 1,500, the proposal is buying assets with a useful life shorter</w:t>
            </w:r>
            <w:r>
              <w:t xml:space="preserve"> </w:t>
            </w:r>
            <w:r>
              <w:t xml:space="preserve">than their depreciation schedule.</w:t>
            </w:r>
          </w:p>
          <w:p/>
        </w:tc>
      </w:tr>
    </w:tbl>
    <w:bookmarkEnd w:id="36"/>
    <w:bookmarkEnd w:id="37"/>
    <w:bookmarkStart w:id="45" w:name="X6efb5713f022e20689e7ea5e3696adf6c0bad7b"/>
    <w:p>
      <w:pPr>
        <w:pStyle w:val="Heading2"/>
      </w:pPr>
      <w:r>
        <w:t xml:space="preserve">3. Why Per-Office Distribution Points Are No Longer the Right Model</w:t>
      </w:r>
    </w:p>
    <w:p>
      <w:pPr>
        <w:pStyle w:val="FirstParagraph"/>
      </w:pPr>
      <w:r>
        <w:t xml:space="preserve">The distribution point is a content host. Configuration Manager</w:t>
      </w:r>
      <w:r>
        <w:t xml:space="preserve"> </w:t>
      </w:r>
      <w:r>
        <w:t xml:space="preserve">separates policy from content: the management point issues instructions,</w:t>
      </w:r>
      <w:r>
        <w:t xml:space="preserve"> </w:t>
      </w:r>
      <w:r>
        <w:t xml:space="preserve">and the distribution point serves the bytes. The role has no database,</w:t>
      </w:r>
      <w:r>
        <w:t xml:space="preserve"> </w:t>
      </w:r>
      <w:r>
        <w:t xml:space="preserve">no policy engine, and no client relationship — it is Internet</w:t>
      </w:r>
      <w:r>
        <w:t xml:space="preserve"> </w:t>
      </w:r>
      <w:r>
        <w:t xml:space="preserve">Information Services delivering hash-named files from a single-instance</w:t>
      </w:r>
      <w:r>
        <w:t xml:space="preserve"> </w:t>
      </w:r>
      <w:r>
        <w:t xml:space="preserve">content library over BITS, with an agent for content management. That</w:t>
      </w:r>
      <w:r>
        <w:t xml:space="preserve"> </w:t>
      </w:r>
      <w:r>
        <w:t xml:space="preserve">thinness is why the placement question is an economics question rather</w:t>
      </w:r>
      <w:r>
        <w:t xml:space="preserve"> </w:t>
      </w:r>
      <w:r>
        <w:t xml:space="preserve">than a functional one.</w:t>
      </w:r>
    </w:p>
    <w:bookmarkStart w:id="39" w:name="published-capacity-limits"/>
    <w:p>
      <w:pPr>
        <w:pStyle w:val="Heading3"/>
      </w:pPr>
      <w:r>
        <w:t xml:space="preserve">3.1 Published capacity limits</w:t>
      </w:r>
    </w:p>
    <w:p>
      <w:pPr>
        <w:pStyle w:val="FirstParagraph"/>
      </w:pPr>
      <w:r>
        <w:t xml:space="preserve">All figures in this table are sourced from Microsoft’s Configuration</w:t>
      </w:r>
      <w:r>
        <w:t xml:space="preserve"> </w:t>
      </w:r>
      <w:r>
        <w:t xml:space="preserve">Manager size-and-scale documentation.</w:t>
      </w:r>
      <w:r>
        <w:rPr>
          <w:rStyle w:val="FootnoteReference"/>
        </w:rPr>
        <w:footnoteReference w:id="38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Constraint</w:t>
            </w:r>
          </w:p>
        </w:tc>
        <w:tc>
          <w:tcPr/>
          <w:p>
            <w:pPr>
              <w:pStyle w:val="Compact"/>
            </w:pPr>
            <w:r>
              <w:t xml:space="preserve">Documented limit</w:t>
            </w:r>
          </w:p>
        </w:tc>
        <w:tc>
          <w:tcPr/>
          <w:p>
            <w:pPr>
              <w:pStyle w:val="Compact"/>
            </w:pPr>
            <w:r>
              <w:t xml:space="preserve">Implication at this scale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Clients per distribution point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70,000 endpoints require 18 at ceiling; 24 with headroom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Standard distribution points per site</w:t>
            </w:r>
          </w:p>
        </w:tc>
        <w:tc>
          <w:tcPr/>
          <w:p>
            <w:pPr>
              <w:pStyle w:val="Compact"/>
            </w:pPr>
            <w:r>
              <w:t xml:space="preserve">250</w:t>
            </w:r>
          </w:p>
        </w:tc>
        <w:tc>
          <w:tcPr/>
          <w:p>
            <w:pPr>
              <w:pStyle w:val="Compact"/>
            </w:pPr>
            <w:r>
              <w:t xml:space="preserve">A 1,500-DP topology is impossible without pull DPs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Pull distribution points per site (additional)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1,500 is feasible only as 250 standard plus 1,250 pull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DPs per primary site</w:t>
            </w:r>
          </w:p>
        </w:tc>
        <w:tc>
          <w:tcPr/>
          <w:p>
            <w:pPr>
              <w:pStyle w:val="Compact"/>
            </w:pPr>
            <w:r>
              <w:t xml:space="preserve">5,000</w:t>
            </w:r>
          </w:p>
        </w:tc>
        <w:tc>
          <w:tcPr/>
          <w:p>
            <w:pPr>
              <w:pStyle w:val="Compact"/>
            </w:pPr>
            <w:r>
              <w:t xml:space="preserve">Hierarchy-wide ceiling — the primary site’s own DPs plus all DPs belonging to its child secondary sites. This design uses a stand-alone primary site with no secondary sites, so the binding ceiling is the 2,250 figure above (250 standard + 2,000 pull), not this row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Clients per stand-alone primary site</w:t>
            </w:r>
          </w:p>
        </w:tc>
        <w:tc>
          <w:tcPr/>
          <w:p>
            <w:pPr>
              <w:pStyle w:val="Compact"/>
            </w:pPr>
            <w:r>
              <w:t xml:space="preserve">150,000 Windows</w:t>
            </w:r>
          </w:p>
        </w:tc>
        <w:tc>
          <w:tcPr/>
          <w:p>
            <w:pPr>
              <w:pStyle w:val="Compact"/>
            </w:pPr>
            <w:r>
              <w:t xml:space="preserve">70,000 endpoints fit comfortably in one site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Packages and applications per DP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  <w:tc>
          <w:tcPr/>
          <w:p>
            <w:pPr>
              <w:pStyle w:val="Compact"/>
            </w:pPr>
            <w:r>
              <w:t xml:space="preserve">Not a binding constraint</w:t>
            </w:r>
          </w:p>
        </w:tc>
      </w:tr>
    </w:tbl>
    <w:p>
      <w:pPr>
        <w:pStyle w:val="BodyText"/>
      </w:pPr>
      <w:r>
        <w:rPr>
          <w:b/>
          <w:bCs/>
        </w:rPr>
        <w:t xml:space="preserve">The decisive figure is the first row.</w:t>
      </w:r>
      <w:r>
        <w:t xml:space="preserve"> </w:t>
      </w:r>
      <w:r>
        <w:t xml:space="preserve">On capacity grounds, 70,000</w:t>
      </w:r>
      <w:r>
        <w:t xml:space="preserve"> </w:t>
      </w:r>
      <w:r>
        <w:t xml:space="preserve">endpoints require 24 distribution points. The proposal contemplates</w:t>
      </w:r>
      <w:r>
        <w:t xml:space="preserve"> </w:t>
      </w:r>
      <w:r>
        <w:t xml:space="preserve">1,500. The additional 1,476 exist solely to compensate for constrained</w:t>
      </w:r>
      <w:r>
        <w:t xml:space="preserve"> </w:t>
      </w:r>
      <w:r>
        <w:t xml:space="preserve">branch transport — they serve no Configuration Manager requirement</w:t>
      </w:r>
      <w:r>
        <w:t xml:space="preserve"> </w:t>
      </w:r>
      <w:r>
        <w:t xml:space="preserve">whatsoever.</w:t>
      </w:r>
    </w:p>
    <w:bookmarkEnd w:id="39"/>
    <w:bookmarkStart w:id="40" w:name="the-cost-of-the-distributed-model"/>
    <w:p>
      <w:pPr>
        <w:pStyle w:val="Heading3"/>
      </w:pPr>
      <w:r>
        <w:t xml:space="preserve">3.2 The cost of the distributed model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At 1,500 distribution points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Duplicated storage</w:t>
            </w:r>
          </w:p>
        </w:tc>
        <w:tc>
          <w:tcPr/>
          <w:p>
            <w:pPr>
              <w:pStyle w:val="Compact"/>
            </w:pPr>
            <w:r>
              <w:t xml:space="preserve">1.5 to 3 petabytes of replicated content, most never requested at most sites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Distribution fan-out</w:t>
            </w:r>
          </w:p>
        </w:tc>
        <w:tc>
          <w:tcPr/>
          <w:p>
            <w:pPr>
              <w:pStyle w:val="Compact"/>
            </w:pPr>
            <w:r>
              <w:t xml:space="preserve">Every package replicates to 1,500 targets; Microsoft warns that pull DPs request content simultaneously and may request all available content, loading source DPs and delaying distribution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Topology complexity</w:t>
            </w:r>
          </w:p>
        </w:tc>
        <w:tc>
          <w:tcPr/>
          <w:p>
            <w:pPr>
              <w:pStyle w:val="Compact"/>
            </w:pPr>
            <w:r>
              <w:t xml:space="preserve">Requires tiered pull hierarchy, distribution point groups, and staggered scheduling to remain stable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Compliance sustainment</w:t>
            </w:r>
          </w:p>
        </w:tc>
        <w:tc>
          <w:tcPr/>
          <w:p>
            <w:pPr>
              <w:pStyle w:val="Compact"/>
            </w:pPr>
            <w:r>
              <w:t xml:space="preserve">1,500 accredited systems to baseline, scan, patch, and carry in the system security plan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Field support</w:t>
            </w:r>
          </w:p>
        </w:tc>
        <w:tc>
          <w:tcPr/>
          <w:p>
            <w:pPr>
              <w:pStyle w:val="Compact"/>
            </w:pPr>
            <w:r>
              <w:t xml:space="preserve">No out-of-band management on micro form factor platforms; every hang is a site visit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Refresh obligation</w:t>
            </w:r>
          </w:p>
        </w:tc>
        <w:tc>
          <w:tcPr/>
          <w:p>
            <w:pPr>
              <w:pStyle w:val="Compact"/>
            </w:pPr>
            <w:r>
              <w:t xml:space="preserve">A recurring capital event every five years, indefinitely</w:t>
            </w:r>
          </w:p>
        </w:tc>
      </w:tr>
    </w:tbl>
    <w:bookmarkEnd w:id="40"/>
    <w:bookmarkStart w:id="43" w:name="Xc650129fd9e9d66436c58cbd1918891f03bb789"/>
    <w:p>
      <w:pPr>
        <w:pStyle w:val="Heading3"/>
      </w:pPr>
      <w:r>
        <w:t xml:space="preserve">3.3 What has changed since the model was adopted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Content has moved to the cloud.</w:t>
      </w:r>
      <w:r>
        <w:t xml:space="preserve"> </w:t>
      </w:r>
      <w:r>
        <w:t xml:space="preserve">Windows Update, Microsoft 365</w:t>
      </w:r>
      <w:r>
        <w:t xml:space="preserve"> </w:t>
      </w:r>
      <w:r>
        <w:t xml:space="preserve">Apps, Defender definitions, Store applications, and Intune Win32</w:t>
      </w:r>
      <w:r>
        <w:t xml:space="preserve"> </w:t>
      </w:r>
      <w:r>
        <w:t xml:space="preserve">applications originate from Microsoft content delivery networks, not</w:t>
      </w:r>
      <w:r>
        <w:t xml:space="preserve"> </w:t>
      </w:r>
      <w:r>
        <w:t xml:space="preserve">from an on-premises content library. Delivery Optimization and</w:t>
      </w:r>
      <w:r>
        <w:t xml:space="preserve"> </w:t>
      </w:r>
      <w:r>
        <w:t xml:space="preserve">Microsoft Connected Cache address this class of traffic without</w:t>
      </w:r>
      <w:r>
        <w:t xml:space="preserve"> </w:t>
      </w:r>
      <w:r>
        <w:t xml:space="preserve">agency-owned content infrastructure.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Peer distribution matured.</w:t>
      </w:r>
      <w:r>
        <w:t xml:space="preserve"> </w:t>
      </w:r>
      <w:r>
        <w:t xml:space="preserve">Peer Cache and BranchCache allow</w:t>
      </w:r>
      <w:r>
        <w:t xml:space="preserve"> </w:t>
      </w:r>
      <w:r>
        <w:t xml:space="preserve">designated clients at a site to serve content to peers over the local</w:t>
      </w:r>
      <w:r>
        <w:t xml:space="preserve"> </w:t>
      </w:r>
      <w:r>
        <w:t xml:space="preserve">network, requiring one wide-area transfer per site rather than one per</w:t>
      </w:r>
      <w:r>
        <w:t xml:space="preserve"> </w:t>
      </w:r>
      <w:r>
        <w:t xml:space="preserve">client — with no server, no accreditation, and no refresh cycle.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Branch transport economics inverted.</w:t>
      </w:r>
      <w:r>
        <w:t xml:space="preserve"> </w:t>
      </w:r>
      <w:r>
        <w:t xml:space="preserve">The per-office distribution</w:t>
      </w:r>
      <w:r>
        <w:t xml:space="preserve"> </w:t>
      </w:r>
      <w:r>
        <w:t xml:space="preserve">point model was justified against expensive, congested, low-bandwidth</w:t>
      </w:r>
      <w:r>
        <w:t xml:space="preserve"> </w:t>
      </w:r>
      <w:r>
        <w:t xml:space="preserve">branch circuits. Commercial broadband and dedicated internet access at</w:t>
      </w:r>
      <w:r>
        <w:t xml:space="preserve"> </w:t>
      </w:r>
      <w:r>
        <w:t xml:space="preserve">200 Mbps to 1 Gbps now cost a fraction of legacy MPLS at a fraction of</w:t>
      </w:r>
      <w:r>
        <w:t xml:space="preserve"> </w:t>
      </w:r>
      <w:r>
        <w:t xml:space="preserve">the bandwidth.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accurate statement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distribution point role is not obsolete. The</w:t>
            </w:r>
            <w:r>
              <w:t xml:space="preserve"> </w:t>
            </w:r>
            <w:r>
              <w:t xml:space="preserve">distribution-point-per-office topology is.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Distribution points remain the correct mechanism for serving</w:t>
            </w:r>
            <w:r>
              <w:t xml:space="preserve"> </w:t>
            </w:r>
            <w:r>
              <w:t xml:space="preserve">Configuration Manager content to on-premises clients. What is obsolete</w:t>
            </w:r>
            <w:r>
              <w:t xml:space="preserve"> </w:t>
            </w:r>
            <w:r>
              <w:t xml:space="preserve">is the assumption that every branch requires a local copy of the</w:t>
            </w:r>
            <w:r>
              <w:t xml:space="preserve"> </w:t>
            </w:r>
            <w:r>
              <w:t xml:space="preserve">content library.</w:t>
            </w:r>
          </w:p>
          <w:p/>
        </w:tc>
      </w:tr>
    </w:tbl>
    <w:bookmarkEnd w:id="43"/>
    <w:bookmarkStart w:id="44" w:name="X29e55303992fa3a1cf7aa06235b60944f965c85"/>
    <w:p>
      <w:pPr>
        <w:pStyle w:val="Heading3"/>
      </w:pPr>
      <w:r>
        <w:t xml:space="preserve">3.4 Distribution points vs. Intune — a compliance comparison</w:t>
      </w:r>
    </w:p>
    <w:p>
      <w:pPr>
        <w:pStyle w:val="FirstParagraph"/>
      </w:pPr>
      <w:r>
        <w:t xml:space="preserve">Independent of the economics and capacity math in Sections 3.1–3.3, a</w:t>
      </w:r>
      <w:r>
        <w:t xml:space="preserve"> </w:t>
      </w:r>
      <w:r>
        <w:t xml:space="preserve">distribution point and Intune sit in structurally different compliance</w:t>
      </w:r>
      <w:r>
        <w:t xml:space="preserve"> </w:t>
      </w:r>
      <w:r>
        <w:t xml:space="preserve">postures — different SSP footprint, different hardening responsibility,</w:t>
      </w:r>
      <w:r>
        <w:t xml:space="preserve"> </w:t>
      </w:r>
      <w:r>
        <w:t xml:space="preserve">different continuous-evidence posture, control by control. That</w:t>
      </w:r>
      <w:r>
        <w:t xml:space="preserve"> </w:t>
      </w:r>
      <w:r>
        <w:t xml:space="preserve">comparison is detailed in Appendix A.1 rather than here, to keep this</w:t>
      </w:r>
      <w:r>
        <w:t xml:space="preserve"> </w:t>
      </w:r>
      <w:r>
        <w:t xml:space="preserve">section on the cost and capacity argument. The finding that carries</w:t>
      </w:r>
      <w:r>
        <w:t xml:space="preserve"> </w:t>
      </w:r>
      <w:r>
        <w:t xml:space="preserve">forward into the cost model: for as long as any distribution point</w:t>
      </w:r>
      <w:r>
        <w:t xml:space="preserve"> </w:t>
      </w:r>
      <w:r>
        <w:t xml:space="preserve">exists — 1,500 today, 24 under this design’s Section 4 target, or</w:t>
      </w:r>
      <w:r>
        <w:t xml:space="preserve"> </w:t>
      </w:r>
      <w:r>
        <w:t xml:space="preserve">whatever smaller number Section 4.7’s gates eventually allow — its</w:t>
      </w:r>
      <w:r>
        <w:t xml:space="preserve"> </w:t>
      </w:r>
      <w:r>
        <w:t xml:space="preserve">compliance sustainment is a program in addition to, not instead of,</w:t>
      </w:r>
      <w:r>
        <w:t xml:space="preserve"> </w:t>
      </w:r>
      <w:r>
        <w:t xml:space="preserve">whatever already covers the Intune-managed fleet. Section 3.2’s</w:t>
      </w:r>
      <w:r>
        <w:t xml:space="preserve"> </w:t>
      </w:r>
      <w:r>
        <w:t xml:space="preserve">“compliance sustainment”</w:t>
      </w:r>
      <w:r>
        <w:t xml:space="preserve"> </w:t>
      </w:r>
      <w:r>
        <w:t xml:space="preserve">line item is this program, understated:</w:t>
      </w:r>
      <w:r>
        <w:t xml:space="preserve"> </w:t>
      </w:r>
      <w:r>
        <w:t xml:space="preserve">consolidating to 24 distribution points shrinks it to roughly a</w:t>
      </w:r>
      <w:r>
        <w:t xml:space="preserve"> </w:t>
      </w:r>
      <w:r>
        <w:t xml:space="preserve">twelfth of its former size, but it does not shrink to zero, and it</w:t>
      </w:r>
      <w:r>
        <w:t xml:space="preserve"> </w:t>
      </w:r>
      <w:r>
        <w:t xml:space="preserve">does not shrink at all until Section 4.7’s gates close.</w:t>
      </w:r>
    </w:p>
    <w:bookmarkEnd w:id="44"/>
    <w:bookmarkEnd w:id="45"/>
    <w:bookmarkStart w:id="75" w:name="proposed-target-architecture"/>
    <w:p>
      <w:pPr>
        <w:pStyle w:val="Heading2"/>
      </w:pPr>
      <w:r>
        <w:t xml:space="preserve">4. Proposed Target Architecture</w:t>
      </w:r>
    </w:p>
    <w:bookmarkStart w:id="46" w:name="design-principles"/>
    <w:p>
      <w:pPr>
        <w:pStyle w:val="Heading3"/>
      </w:pPr>
      <w:r>
        <w:t xml:space="preserve">4.1 Design principles</w:t>
      </w:r>
    </w:p>
    <w:p>
      <w:pPr>
        <w:pStyle w:val="Compact"/>
        <w:numPr>
          <w:ilvl w:val="0"/>
          <w:numId w:val="1007"/>
        </w:numPr>
      </w:pPr>
      <w:r>
        <w:t xml:space="preserve">Size the content tier to client capacity, not to office count.</w:t>
      </w:r>
    </w:p>
    <w:p>
      <w:pPr>
        <w:pStyle w:val="Compact"/>
        <w:numPr>
          <w:ilvl w:val="0"/>
          <w:numId w:val="1007"/>
        </w:numPr>
      </w:pPr>
      <w:r>
        <w:t xml:space="preserve">Solve the transport problem at the transport layer rather than</w:t>
      </w:r>
      <w:r>
        <w:t xml:space="preserve"> </w:t>
      </w:r>
      <w:r>
        <w:t xml:space="preserve">working around it with distributed content.</w:t>
      </w:r>
    </w:p>
    <w:p>
      <w:pPr>
        <w:pStyle w:val="Compact"/>
        <w:numPr>
          <w:ilvl w:val="0"/>
          <w:numId w:val="1007"/>
        </w:numPr>
      </w:pPr>
      <w:r>
        <w:t xml:space="preserve">Co-locate network aggregation, internet breakout, and content</w:t>
      </w:r>
      <w:r>
        <w:t xml:space="preserve"> </w:t>
      </w:r>
      <w:r>
        <w:t xml:space="preserve">services at one set of hub facilities under one accreditation</w:t>
      </w:r>
      <w:r>
        <w:t xml:space="preserve"> </w:t>
      </w:r>
      <w:r>
        <w:t xml:space="preserve">boundary.</w:t>
      </w:r>
    </w:p>
    <w:p>
      <w:pPr>
        <w:pStyle w:val="Compact"/>
        <w:numPr>
          <w:ilvl w:val="0"/>
          <w:numId w:val="1007"/>
        </w:numPr>
      </w:pPr>
      <w:r>
        <w:t xml:space="preserve">Design the hub tier so it becomes the Microsoft Connected Cache</w:t>
      </w:r>
      <w:r>
        <w:t xml:space="preserve"> </w:t>
      </w:r>
      <w:r>
        <w:t xml:space="preserve">footprint without re-siting or re-accrediting.</w:t>
      </w:r>
    </w:p>
    <w:p>
      <w:pPr>
        <w:pStyle w:val="Compact"/>
        <w:numPr>
          <w:ilvl w:val="0"/>
          <w:numId w:val="1007"/>
        </w:numPr>
      </w:pPr>
      <w:r>
        <w:t xml:space="preserve">Sequence branch migration to contract renewal dates so the program</w:t>
      </w:r>
      <w:r>
        <w:t xml:space="preserve"> </w:t>
      </w:r>
      <w:r>
        <w:t xml:space="preserve">funds itself progressively.</w:t>
      </w:r>
    </w:p>
    <w:p>
      <w:pPr>
        <w:pStyle w:val="Compact"/>
        <w:numPr>
          <w:ilvl w:val="0"/>
          <w:numId w:val="1007"/>
        </w:numPr>
      </w:pPr>
      <w:r>
        <w:t xml:space="preserve">Treat every cloud-dependent optimization as an enhancement, never as</w:t>
      </w:r>
      <w:r>
        <w:t xml:space="preserve"> </w:t>
      </w:r>
      <w:r>
        <w:t xml:space="preserve">a design dependency.</w:t>
      </w:r>
    </w:p>
    <w:bookmarkEnd w:id="46"/>
    <w:bookmarkStart w:id="47" w:name="hub-topology-12-sites"/>
    <w:p>
      <w:pPr>
        <w:pStyle w:val="Heading3"/>
      </w:pPr>
      <w:r>
        <w:t xml:space="preserve">4.2 Hub topology — 12 sites</w:t>
      </w:r>
    </w:p>
    <w:p>
      <w:pPr>
        <w:pStyle w:val="FirstParagraph"/>
      </w:pPr>
      <w:r>
        <w:t xml:space="preserve">Twelve hub sites are proposed, aligned to existing agency geography so</w:t>
      </w:r>
      <w:r>
        <w:t xml:space="preserve"> </w:t>
      </w:r>
      <w:r>
        <w:t xml:space="preserve">that no new real estate, power, or accreditation boundary is required.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Hub class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Location basis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data center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Headquarters campus</w:t>
            </w:r>
          </w:p>
        </w:tc>
        <w:tc>
          <w:tcPr/>
          <w:p>
            <w:pPr>
              <w:pStyle w:val="Compact"/>
            </w:pPr>
            <w:r>
              <w:t xml:space="preserve">Source content library, SD-WAN control plane primary, breakout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Secondary data center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Existing disaster recovery facility</w:t>
            </w:r>
          </w:p>
        </w:tc>
        <w:tc>
          <w:tcPr/>
          <w:p>
            <w:pPr>
              <w:pStyle w:val="Compact"/>
            </w:pPr>
            <w:r>
              <w:t xml:space="preserve">Source library replica, control plane secondary, breakout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Regional hub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Existing regional office locations</w:t>
            </w:r>
          </w:p>
        </w:tc>
        <w:tc>
          <w:tcPr/>
          <w:p>
            <w:pPr>
              <w:pStyle w:val="Compact"/>
            </w:pPr>
            <w:r>
              <w:t xml:space="preserve">SD-WAN aggregation, regional internet breakout, pull distribution points</w:t>
            </w:r>
          </w:p>
        </w:tc>
      </w:tr>
    </w:tbl>
    <w:p>
      <w:pPr>
        <w:pStyle w:val="BodyText"/>
      </w:pPr>
      <w:r>
        <w:t xml:space="preserve">Twelve sites places every branch within a defensible latency envelope of</w:t>
      </w:r>
      <w:r>
        <w:t xml:space="preserve"> </w:t>
      </w:r>
      <w:r>
        <w:t xml:space="preserve">an aggregation point and, critically, produces a security perimeter that</w:t>
      </w:r>
      <w:r>
        <w:t xml:space="preserve"> </w:t>
      </w:r>
      <w:r>
        <w:t xml:space="preserve">can realistically be monitored and accredited. Local internet breakout</w:t>
      </w:r>
      <w:r>
        <w:t xml:space="preserve"> </w:t>
      </w:r>
      <w:r>
        <w:t xml:space="preserve">at 1,500 sites is a multi-year zero-trust undertaking. Breakout at 12</w:t>
      </w:r>
      <w:r>
        <w:t xml:space="preserve"> </w:t>
      </w:r>
      <w:r>
        <w:t xml:space="preserve">sites is achievable within a single accreditation package, which is why</w:t>
      </w:r>
      <w:r>
        <w:t xml:space="preserve"> </w:t>
      </w:r>
      <w:r>
        <w:t xml:space="preserve">regional breakout is the standard federal stepping stone. This is the</w:t>
      </w:r>
      <w:r>
        <w:t xml:space="preserve"> </w:t>
      </w:r>
      <w:r>
        <w:t xml:space="preserve">same physics-and-accreditation argument made in</w:t>
      </w:r>
      <w:r>
        <w:t xml:space="preserve"> </w:t>
      </w:r>
      <w:hyperlink r:id="rId17">
        <w:r>
          <w:rPr>
            <w:rStyle w:val="Hyperlink"/>
          </w:rPr>
          <w:t xml:space="preserve">SD-WAN vs. DIA Under TIC 3.0</w:t>
        </w:r>
      </w:hyperlink>
      <w:r>
        <w:t xml:space="preserve">; this paper does</w:t>
      </w:r>
      <w:r>
        <w:t xml:space="preserve"> </w:t>
      </w:r>
      <w:r>
        <w:t xml:space="preserve">not re-derive it.</w:t>
      </w:r>
    </w:p>
    <w:bookmarkEnd w:id="47"/>
    <w:bookmarkStart w:id="51" w:name="content-tier-24-distribution-points"/>
    <w:p>
      <w:pPr>
        <w:pStyle w:val="Heading3"/>
      </w:pPr>
      <w:r>
        <w:t xml:space="preserve">4.3 Content tier — 24 distribution points</w:t>
      </w:r>
    </w:p>
    <w:p>
      <w:pPr>
        <w:pStyle w:val="FirstParagraph"/>
      </w:pPr>
      <w:r>
        <w:t xml:space="preserve">Distribution point count is derived from managed endpoint population</w:t>
      </w:r>
      <w:r>
        <w:t xml:space="preserve"> </w:t>
      </w:r>
      <w:r>
        <w:t xml:space="preserve">against the documented 4,000-client ceiling, with headroom for growth</w:t>
      </w:r>
      <w:r>
        <w:t xml:space="preserve"> </w:t>
      </w:r>
      <w:r>
        <w:t xml:space="preserve">and for regional imbalance.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Sizing input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Managed endpoints (estimate)</w:t>
            </w:r>
          </w:p>
        </w:tc>
        <w:tc>
          <w:tcPr/>
          <w:p>
            <w:pPr>
              <w:pStyle w:val="Compact"/>
            </w:pPr>
            <w:r>
              <w:t xml:space="preserve">70,000</w:t>
            </w:r>
          </w:p>
        </w:tc>
        <w:tc>
          <w:tcPr/>
          <w:p>
            <w:pPr>
              <w:pStyle w:val="Compact"/>
            </w:pPr>
            <w:r>
              <w:t xml:space="preserve">To be validated — see Section 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Supported clients per distribution point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Microsoft published limit</w:t>
            </w:r>
            <w:r>
              <w:rPr>
                <w:rStyle w:val="FootnoteReference"/>
              </w:rPr>
              <w:footnoteReference w:id="48"/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Theoretical minimum distribution points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70,000 divided by 4,000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 target utilization</w:t>
            </w:r>
          </w:p>
        </w:tc>
        <w:tc>
          <w:tcPr/>
          <w:p>
            <w:pPr>
              <w:pStyle w:val="Compact"/>
            </w:pPr>
            <w:r>
              <w:t xml:space="preserve">73%</w:t>
            </w:r>
          </w:p>
        </w:tc>
        <w:tc>
          <w:tcPr/>
          <w:p>
            <w:pPr>
              <w:pStyle w:val="Compact"/>
            </w:pPr>
            <w:r>
              <w:t xml:space="preserve">Headroom for growth and regional imbalance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Distribution points deployed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per hub site across 12 sites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Deployed capacity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96,000 clients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37% headroom over current estimate</w:t>
            </w:r>
          </w:p>
        </w:tc>
      </w:tr>
    </w:tbl>
    <w:p>
      <w:pPr>
        <w:pStyle w:val="BodyText"/>
      </w:pPr>
      <w:r>
        <w:rPr>
          <w:b/>
          <w:bCs/>
        </w:rPr>
        <w:t xml:space="preserve">Distribution point allocation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Site</w:t>
            </w:r>
          </w:p>
        </w:tc>
        <w:tc>
          <w:tcPr/>
          <w:p>
            <w:pPr>
              <w:pStyle w:val="Compact"/>
            </w:pPr>
            <w:r>
              <w:t xml:space="preserve">DPs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data center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Standard (source)</w:t>
            </w:r>
          </w:p>
        </w:tc>
        <w:tc>
          <w:tcPr/>
          <w:p>
            <w:pPr>
              <w:pStyle w:val="Compact"/>
            </w:pPr>
            <w:r>
              <w:t xml:space="preserve">Full content library; source for all pull DPs; HA pair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Secondary data center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Standard (source)</w:t>
            </w:r>
          </w:p>
        </w:tc>
        <w:tc>
          <w:tcPr/>
          <w:p>
            <w:pPr>
              <w:pStyle w:val="Compact"/>
            </w:pPr>
            <w:r>
              <w:t xml:space="preserve">Full library replica; secondary pull source; HA pair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Regional hubs (10 sites)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Pull</w:t>
            </w:r>
          </w:p>
        </w:tc>
        <w:tc>
          <w:tcPr/>
          <w:p>
            <w:pPr>
              <w:pStyle w:val="Compact"/>
            </w:pPr>
            <w:r>
              <w:t xml:space="preserve">Targeted content subset; 2 per site for capacity and availability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96,000 client capacity across 12 sites</w:t>
            </w:r>
          </w:p>
        </w:tc>
      </w:tr>
    </w:tbl>
    <w:p>
      <w:pPr>
        <w:pStyle w:val="BodyText"/>
      </w:pPr>
      <w:r>
        <w:t xml:space="preserve">Configuring regional hubs as pull distribution points sourcing from the</w:t>
      </w:r>
      <w:r>
        <w:t xml:space="preserve"> </w:t>
      </w:r>
      <w:r>
        <w:t xml:space="preserve">two data centers removes distribution load from the site server and</w:t>
      </w:r>
      <w:r>
        <w:t xml:space="preserve"> </w:t>
      </w:r>
      <w:r>
        <w:t xml:space="preserve">confines the fan-out problem to a 2-to-20 relationship rather than</w:t>
      </w:r>
      <w:r>
        <w:t xml:space="preserve"> </w:t>
      </w:r>
      <w:r>
        <w:t xml:space="preserve">1-to-1,500. Content targeting via distribution point groups further</w:t>
      </w:r>
      <w:r>
        <w:t xml:space="preserve"> </w:t>
      </w:r>
      <w:r>
        <w:t xml:space="preserve">limits each regional hub to the packages its region actually consumes.</w:t>
      </w:r>
    </w:p>
    <w:p>
      <w:pPr>
        <w:pStyle w:val="BodyText"/>
      </w:pPr>
      <w:r>
        <w:rPr>
          <w:b/>
          <w:bCs/>
        </w:rPr>
        <w:t xml:space="preserve">Storage sizing per distribution 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Usable storage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center source DP</w:t>
            </w:r>
          </w:p>
        </w:tc>
        <w:tc>
          <w:tcPr/>
          <w:p>
            <w:pPr>
              <w:pStyle w:val="Compact"/>
            </w:pPr>
            <w:r>
              <w:t xml:space="preserve">8 TB</w:t>
            </w:r>
          </w:p>
        </w:tc>
        <w:tc>
          <w:tcPr/>
          <w:p>
            <w:pPr>
              <w:pStyle w:val="Compact"/>
            </w:pPr>
            <w:r>
              <w:t xml:space="preserve">Full content library plus growth and prestaging staging area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Regional pull DP</w:t>
            </w:r>
          </w:p>
        </w:tc>
        <w:tc>
          <w:tcPr/>
          <w:p>
            <w:pPr>
              <w:pStyle w:val="Compact"/>
            </w:pPr>
            <w:r>
              <w:t xml:space="preserve">4 TB</w:t>
            </w:r>
          </w:p>
        </w:tc>
        <w:tc>
          <w:tcPr/>
          <w:p>
            <w:pPr>
              <w:pStyle w:val="Compact"/>
            </w:pPr>
            <w:r>
              <w:t xml:space="preserve">Targeted subset, estimated at 60% of full library, plus growth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Assumed current library size</w:t>
            </w:r>
          </w:p>
        </w:tc>
        <w:tc>
          <w:tcPr/>
          <w:p>
            <w:pPr>
              <w:pStyle w:val="Compact"/>
            </w:pPr>
            <w:r>
              <w:t xml:space="preserve">1.5 TB</w:t>
            </w:r>
          </w:p>
        </w:tc>
        <w:tc>
          <w:tcPr/>
          <w:p>
            <w:pPr>
              <w:pStyle w:val="Compact"/>
            </w:pPr>
            <w:r>
              <w:t xml:space="preserve">To be validated by measuring SCCMContentLib on an existing DP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Sizing trigger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Add two distribution points per 8,000 net new managed endpoints, or</w:t>
            </w:r>
            <w:r>
              <w:t xml:space="preserve"> </w:t>
            </w:r>
            <w:r>
              <w:t xml:space="preserve">when sustained utilization at any hub exceeds 3,200 clients per</w:t>
            </w:r>
            <w:r>
              <w:t xml:space="preserve"> </w:t>
            </w:r>
            <w:r>
              <w:t xml:space="preserve">distribution point (80% of the supported ceiling).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the validated endpoint population exceeds 90,000, increase to 28</w:t>
            </w:r>
            <w:r>
              <w:t xml:space="preserve"> </w:t>
            </w:r>
            <w:r>
              <w:t xml:space="preserve">distribution points by adding a third DP at the four largest regional</w:t>
            </w:r>
            <w:r>
              <w:t xml:space="preserve"> </w:t>
            </w:r>
            <w:r>
              <w:t xml:space="preserve">hubs.</w:t>
            </w:r>
          </w:p>
          <w:p/>
        </w:tc>
      </w:tr>
    </w:tbl>
    <w:bookmarkEnd w:id="51"/>
    <w:bookmarkStart w:id="53" w:name="branch-network"/>
    <w:p>
      <w:pPr>
        <w:pStyle w:val="Heading3"/>
      </w:pPr>
      <w:r>
        <w:t xml:space="preserve">4.4 Branch network</w:t>
      </w:r>
    </w:p>
    <w:p>
      <w:pPr>
        <w:pStyle w:val="FirstParagraph"/>
      </w:pPr>
      <w:r>
        <w:t xml:space="preserve">Every field office receives a dual-path design: a primary dedicated</w:t>
      </w:r>
      <w:r>
        <w:t xml:space="preserve"> </w:t>
      </w:r>
      <w:r>
        <w:t xml:space="preserve">internet access circuit sized to seat count, and a 5G fixed wireless</w:t>
      </w:r>
      <w:r>
        <w:t xml:space="preserve"> </w:t>
      </w:r>
      <w:r>
        <w:t xml:space="preserve">secondary path for continuity. An SD-WAN overlay provides application-</w:t>
      </w:r>
      <w:r>
        <w:t xml:space="preserve"> </w:t>
      </w:r>
      <w:r>
        <w:t xml:space="preserve">aware routing and segmentation; this paper illustrates the bill of</w:t>
      </w:r>
      <w:r>
        <w:t xml:space="preserve"> </w:t>
      </w:r>
      <w:r>
        <w:t xml:space="preserve">materials with one vendor’s product line (Cisco Catalyst SD-WAN) as a</w:t>
      </w:r>
      <w:r>
        <w:t xml:space="preserve"> </w:t>
      </w:r>
      <w:r>
        <w:t xml:space="preserve">worked example, not as an exclusive recommendation — the underlying</w:t>
      </w:r>
      <w:r>
        <w:t xml:space="preserve"> </w:t>
      </w:r>
      <w:r>
        <w:t xml:space="preserve">sizing and topology argument is vendor-neutral, and FMP’s own</w:t>
      </w:r>
      <w:r>
        <w:t xml:space="preserve"> </w:t>
      </w:r>
      <w:hyperlink r:id="rId52">
        <w:r>
          <w:rPr>
            <w:rStyle w:val="Hyperlink"/>
          </w:rPr>
          <w:t xml:space="preserve">SD-WAN modernization spec</w:t>
        </w:r>
      </w:hyperlink>
      <w:r>
        <w:t xml:space="preserve"> </w:t>
      </w:r>
      <w:r>
        <w:t xml:space="preserve">treats</w:t>
      </w:r>
      <w:r>
        <w:t xml:space="preserve"> </w:t>
      </w:r>
      <w:r>
        <w:t xml:space="preserve">SD-WAN as an adapter class rather than a single-vendor commitment.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Sites</w:t>
            </w:r>
          </w:p>
        </w:tc>
        <w:tc>
          <w:tcPr/>
          <w:p>
            <w:pPr>
              <w:pStyle w:val="Compact"/>
            </w:pPr>
            <w:r>
              <w:t xml:space="preserve">Seats</w:t>
            </w:r>
          </w:p>
        </w:tc>
        <w:tc>
          <w:tcPr/>
          <w:p>
            <w:pPr>
              <w:pStyle w:val="Compact"/>
            </w:pPr>
            <w:r>
              <w:t xml:space="preserve">Primary circuit</w:t>
            </w:r>
          </w:p>
        </w:tc>
        <w:tc>
          <w:tcPr/>
          <w:p>
            <w:pPr>
              <w:pStyle w:val="Compact"/>
            </w:pPr>
            <w:r>
              <w:t xml:space="preserve">Edge platform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Up to 25</w:t>
            </w:r>
          </w:p>
        </w:tc>
        <w:tc>
          <w:tcPr/>
          <w:p>
            <w:pPr>
              <w:pStyle w:val="Compact"/>
            </w:pPr>
            <w:r>
              <w:t xml:space="preserve">200–300 Mbps DIA</w:t>
            </w:r>
          </w:p>
        </w:tc>
        <w:tc>
          <w:tcPr/>
          <w:p>
            <w:pPr>
              <w:pStyle w:val="Compact"/>
            </w:pPr>
            <w:r>
              <w:t xml:space="preserve">Catalyst C8200L-1N-4T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525</w:t>
            </w:r>
          </w:p>
        </w:tc>
        <w:tc>
          <w:tcPr/>
          <w:p>
            <w:pPr>
              <w:pStyle w:val="Compact"/>
            </w:pPr>
            <w:r>
              <w:t xml:space="preserve">26–50</w:t>
            </w:r>
          </w:p>
        </w:tc>
        <w:tc>
          <w:tcPr/>
          <w:p>
            <w:pPr>
              <w:pStyle w:val="Compact"/>
            </w:pPr>
            <w:r>
              <w:t xml:space="preserve">500 Mbps DIA</w:t>
            </w:r>
          </w:p>
        </w:tc>
        <w:tc>
          <w:tcPr/>
          <w:p>
            <w:pPr>
              <w:pStyle w:val="Compact"/>
            </w:pPr>
            <w:r>
              <w:t xml:space="preserve">Catalyst C8200-1N-4T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225</w:t>
            </w:r>
          </w:p>
        </w:tc>
        <w:tc>
          <w:tcPr/>
          <w:p>
            <w:pPr>
              <w:pStyle w:val="Compact"/>
            </w:pPr>
            <w:r>
              <w:t xml:space="preserve">51–100</w:t>
            </w:r>
          </w:p>
        </w:tc>
        <w:tc>
          <w:tcPr/>
          <w:p>
            <w:pPr>
              <w:pStyle w:val="Compact"/>
            </w:pPr>
            <w:r>
              <w:t xml:space="preserve">1 Gbps DIA</w:t>
            </w:r>
          </w:p>
        </w:tc>
        <w:tc>
          <w:tcPr/>
          <w:p>
            <w:pPr>
              <w:pStyle w:val="Compact"/>
            </w:pPr>
            <w:r>
              <w:t xml:space="preserve">Catalyst C8300-1N1S-4T2X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5G secondary path</w:t>
            </w:r>
          </w:p>
        </w:tc>
        <w:tc>
          <w:tcPr/>
          <w:p>
            <w:pPr>
              <w:pStyle w:val="Compact"/>
            </w:pPr>
            <w:r>
              <w:t xml:space="preserve">P-5GS6-GL module or CG522-E gateway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Symmetric and SLA-backed beats raw bandwidth.</w:t>
      </w:r>
      <w:r>
        <w:t xml:space="preserve"> </w:t>
      </w:r>
      <w:r>
        <w:t xml:space="preserve">A 20-seat office</w:t>
      </w:r>
      <w:r>
        <w:t xml:space="preserve"> </w:t>
      </w:r>
      <w:r>
        <w:t xml:space="preserve">does not need a gigabit. It needs low jitter and a service level</w:t>
      </w:r>
      <w:r>
        <w:t xml:space="preserve"> </w:t>
      </w:r>
      <w:r>
        <w:t xml:space="preserve">agreement. 300 Mbps of dedicated internet access outperforms 1 Gbps of</w:t>
      </w:r>
      <w:r>
        <w:t xml:space="preserve"> </w:t>
      </w:r>
      <w:r>
        <w:t xml:space="preserve">best-effort cable for voice, virtual desktop, and Teams.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5G is a continuity path, not a capacity path.</w:t>
      </w:r>
      <w:r>
        <w:t xml:space="preserve"> </w:t>
      </w:r>
      <w:r>
        <w:t xml:space="preserve">Carrier fixed</w:t>
      </w:r>
      <w:r>
        <w:t xml:space="preserve"> </w:t>
      </w:r>
      <w:r>
        <w:t xml:space="preserve">wireless is subject to deprioritization and data policy. It will keep</w:t>
      </w:r>
      <w:r>
        <w:t xml:space="preserve"> </w:t>
      </w:r>
      <w:r>
        <w:t xml:space="preserve">an office transacting through an outage. It will not carry a feature</w:t>
      </w:r>
      <w:r>
        <w:t xml:space="preserve"> </w:t>
      </w:r>
      <w:r>
        <w:t xml:space="preserve">update wave, and content deployment policy should exclude the</w:t>
      </w:r>
      <w:r>
        <w:t xml:space="preserve"> </w:t>
      </w:r>
      <w:r>
        <w:t xml:space="preserve">secondary path.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Verify diversity physically.</w:t>
      </w:r>
      <w:r>
        <w:t xml:space="preserve"> </w:t>
      </w:r>
      <w:r>
        <w:t xml:space="preserve">Cable plus 5G is genuinely diverse.</w:t>
      </w:r>
      <w:r>
        <w:t xml:space="preserve"> </w:t>
      </w:r>
      <w:r>
        <w:t xml:space="preserve">Two nominally different fiber providers frequently share the same</w:t>
      </w:r>
      <w:r>
        <w:t xml:space="preserve"> </w:t>
      </w:r>
      <w:r>
        <w:t xml:space="preserve">conduit into the building. Require documented physical path diversity</w:t>
      </w:r>
      <w:r>
        <w:t xml:space="preserve"> </w:t>
      </w:r>
      <w:r>
        <w:t xml:space="preserve">per site.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Confirm crypto throughput licensing.</w:t>
      </w:r>
      <w:r>
        <w:t xml:space="preserve"> </w:t>
      </w:r>
      <w:r>
        <w:t xml:space="preserve">Encrypted throughput on this</w:t>
      </w:r>
      <w:r>
        <w:t xml:space="preserve"> </w:t>
      </w:r>
      <w:r>
        <w:t xml:space="preserve">class of edge platform is typically license-tiered. Purchasing 1 Gbps</w:t>
      </w:r>
      <w:r>
        <w:t xml:space="preserve"> </w:t>
      </w:r>
      <w:r>
        <w:t xml:space="preserve">circuits against a 250 Mbps crypto tier is the most common and most</w:t>
      </w:r>
      <w:r>
        <w:t xml:space="preserve"> </w:t>
      </w:r>
      <w:r>
        <w:t xml:space="preserve">expensive costing error on this platform.</w:t>
      </w:r>
    </w:p>
    <w:bookmarkEnd w:id="53"/>
    <w:bookmarkStart w:id="54" w:name="security-and-tic-3.0"/>
    <w:p>
      <w:pPr>
        <w:pStyle w:val="Heading3"/>
      </w:pPr>
      <w:r>
        <w:t xml:space="preserve">4.5 Security and TIC 3.0</w:t>
      </w:r>
    </w:p>
    <w:p>
      <w:pPr>
        <w:pStyle w:val="FirstParagraph"/>
      </w:pPr>
      <w:r>
        <w:t xml:space="preserve">Regional internet breakout requires the agency to operate under a CISA</w:t>
      </w:r>
      <w:r>
        <w:t xml:space="preserve"> </w:t>
      </w:r>
      <w:r>
        <w:t xml:space="preserve">Trusted Internet Connections 3.0 Branch Office use case, with a</w:t>
      </w:r>
      <w:r>
        <w:t xml:space="preserve"> </w:t>
      </w:r>
      <w:r>
        <w:t xml:space="preserve">cloud-delivered security stack replacing the inspection previously</w:t>
      </w:r>
      <w:r>
        <w:t xml:space="preserve"> </w:t>
      </w:r>
      <w:r>
        <w:t xml:space="preserve">performed at the centralized gateway. The full argument for why TIC 3.0</w:t>
      </w:r>
      <w:r>
        <w:t xml:space="preserve"> </w:t>
      </w:r>
      <w:r>
        <w:t xml:space="preserve">governs this decision — and why transport and governance are separate</w:t>
      </w:r>
      <w:r>
        <w:t xml:space="preserve"> </w:t>
      </w:r>
      <w:r>
        <w:t xml:space="preserve">questions — is made in</w:t>
      </w:r>
      <w:r>
        <w:t xml:space="preserve"> </w:t>
      </w:r>
      <w:hyperlink r:id="rId17">
        <w:r>
          <w:rPr>
            <w:rStyle w:val="Hyperlink"/>
          </w:rPr>
          <w:t xml:space="preserve">SD-WAN vs. DIA Under TIC 3.0</w:t>
        </w:r>
      </w:hyperlink>
      <w:r>
        <w:t xml:space="preserve">; this section</w:t>
      </w:r>
      <w:r>
        <w:t xml:space="preserve"> </w:t>
      </w:r>
      <w:r>
        <w:t xml:space="preserve">states only the consequence for this program.</w:t>
      </w:r>
    </w:p>
    <w:p>
      <w:pPr>
        <w:pStyle w:val="BodyText"/>
      </w:pPr>
      <w:r>
        <w:t xml:space="preserve">This is the program critical path. Circuits can be ordered in ninety</w:t>
      </w:r>
      <w:r>
        <w:t xml:space="preserve"> </w:t>
      </w:r>
      <w:r>
        <w:t xml:space="preserve">days. An authorized local-breakout security architecture cannot.</w:t>
      </w:r>
      <w:r>
        <w:t xml:space="preserve"> </w:t>
      </w:r>
      <w:r>
        <w:t xml:space="preserve">Beginning at twelve hub sites rather than 1,500 branches reduces the</w:t>
      </w:r>
      <w:r>
        <w:t xml:space="preserve"> </w:t>
      </w:r>
      <w:r>
        <w:t xml:space="preserve">accreditation surface by two orders of magnitude and is the primary</w:t>
      </w:r>
      <w:r>
        <w:t xml:space="preserve"> </w:t>
      </w:r>
      <w:r>
        <w:t xml:space="preserve">reason the phased approach in Section 7 starts at the hubs.</w:t>
      </w:r>
    </w:p>
    <w:bookmarkEnd w:id="54"/>
    <w:bookmarkStart w:id="57" w:name="X9310bfa77a00594972f4ea915aa2fb353c39846"/>
    <w:p>
      <w:pPr>
        <w:pStyle w:val="Heading3"/>
      </w:pPr>
      <w:r>
        <w:t xml:space="preserve">4.6 Microsoft 365 optimization — Informed Network Routing</w:t>
      </w:r>
    </w:p>
    <w:p>
      <w:pPr>
        <w:pStyle w:val="FirstParagraph"/>
      </w:pPr>
      <w:r>
        <w:t xml:space="preserve">Cisco Catalyst SD-WAN Cloud OnRamp for SaaS integrates with Microsoft</w:t>
      </w:r>
      <w:r>
        <w:t xml:space="preserve"> </w:t>
      </w:r>
      <w:r>
        <w:t xml:space="preserve">365 Informed Network Routing (INR) for WW Commercial tenants. Microsoft</w:t>
      </w:r>
      <w:r>
        <w:t xml:space="preserve"> </w:t>
      </w:r>
      <w:r>
        <w:t xml:space="preserve">Learn states this integration explicitly and lists Cisco Catalyst</w:t>
      </w:r>
      <w:r>
        <w:t xml:space="preserve"> </w:t>
      </w:r>
      <w:r>
        <w:t xml:space="preserve">SD-WAN as the only SD-WAN vendor in the</w:t>
      </w:r>
      <w:r>
        <w:t xml:space="preserve"> </w:t>
      </w:r>
      <w:r>
        <w:t xml:space="preserve">“Currently enabled solutions”</w:t>
      </w:r>
      <w:r>
        <w:t xml:space="preserve"> </w:t>
      </w:r>
      <w:r>
        <w:t xml:space="preserve">table for INR.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INR is not available to this program’s cloud environment — closed, not open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Section 1.3 scopes this program to Microsoft 365 GCC, aligned to FedRAMP</w:t>
            </w:r>
            <w:r>
              <w:t xml:space="preserve"> </w:t>
            </w:r>
            <w:r>
              <w:t xml:space="preserve">Moderate. Microsoft Learn (updated 2026-03-10) states verbatim that</w:t>
            </w:r>
            <w:r>
              <w:t xml:space="preserve"> </w:t>
            </w:r>
            <w:r>
              <w:rPr>
                <w:i/>
                <w:iCs/>
              </w:rPr>
              <w:t xml:space="preserve">“Microsoft 365 informed network routing supports tenants in WW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Commercial cloud but not the GCC Moderate, GCC High, DoD, Germany, or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China clouds.”</w:t>
            </w:r>
            <w:r>
              <w:t xml:space="preserve"> </w:t>
            </w:r>
            <w:r>
              <w:t xml:space="preserve">This is not an item pending confirmation — it is a</w:t>
            </w:r>
            <w:r>
              <w:t xml:space="preserve"> </w:t>
            </w:r>
            <w:r>
              <w:t xml:space="preserve">documented exclusion that applies directly to this program’s scope, and</w:t>
            </w:r>
            <w:r>
              <w:t xml:space="preserve"> </w:t>
            </w:r>
            <w:r>
              <w:t xml:space="preserve">is analyzed in full, with a machine-enforced contract fixture encoding</w:t>
            </w:r>
            <w:r>
              <w:t xml:space="preserve"> </w:t>
            </w:r>
            <w:r>
              <w:t xml:space="preserve">the exclusion, in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Next Generation DNS</w:t>
              </w:r>
            </w:hyperlink>
            <w:r>
              <w:t xml:space="preserve">, Part 9, and</w:t>
            </w:r>
            <w:r>
              <w:t xml:space="preserve"> </w:t>
            </w:r>
            <w:r>
              <w:t xml:space="preserve">in Vol I Book 05, Appendix A of the Federal Compliance</w:t>
            </w:r>
            <w:r>
              <w:t xml:space="preserve"> </w:t>
            </w:r>
            <w:r>
              <w:t xml:space="preserve">series.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absence of INR does not eliminate SD-WAN’s value for this program.</w:t>
            </w:r>
            <w:r>
              <w:t xml:space="preserve"> </w:t>
            </w:r>
            <w:r>
              <w:t xml:space="preserve">Direct internet breakout with DSCP marking and application-aware</w:t>
            </w:r>
            <w:r>
              <w:t xml:space="preserve"> </w:t>
            </w:r>
            <w:r>
              <w:t xml:space="preserve">routing using locally observed path metrics (rather than Microsoft-</w:t>
            </w:r>
            <w:r>
              <w:t xml:space="preserve"> </w:t>
            </w:r>
            <w:r>
              <w:t xml:space="preserve">supplied telemetry) remain fully available in GCC and are the pattern</w:t>
            </w:r>
            <w:r>
              <w:t xml:space="preserve"> </w:t>
            </w:r>
            <w:r>
              <w:t xml:space="preserve">this program should plan around from the outset — not as a Phase 3</w:t>
            </w:r>
            <w:r>
              <w:t xml:space="preserve"> </w:t>
            </w:r>
            <w:r>
              <w:t xml:space="preserve">enhancement pending vendor confirmation, but as the baseline design.</w:t>
            </w:r>
          </w:p>
          <w:p/>
        </w:tc>
      </w:tr>
    </w:tbl>
    <w:p>
      <w:pPr>
        <w:pStyle w:val="BodyText"/>
      </w:pPr>
      <w:r>
        <w:t xml:space="preserve">Phase 3 in Section 7 is revised accordingly: it no longer treats INR</w:t>
      </w:r>
      <w:r>
        <w:t xml:space="preserve"> </w:t>
      </w:r>
      <w:r>
        <w:t xml:space="preserve">as an enhancement to enable</w:t>
      </w:r>
      <w:r>
        <w:t xml:space="preserve"> </w:t>
      </w:r>
      <w:r>
        <w:t xml:space="preserve">“subject to accreditation,”</w:t>
      </w:r>
      <w:r>
        <w:t xml:space="preserve"> </w:t>
      </w:r>
      <w:r>
        <w:t xml:space="preserve">since the</w:t>
      </w:r>
      <w:r>
        <w:t xml:space="preserve"> </w:t>
      </w:r>
      <w:r>
        <w:t xml:space="preserve">telemetry channel required for INR to function is not offered to this</w:t>
      </w:r>
      <w:r>
        <w:t xml:space="preserve"> </w:t>
      </w:r>
      <w:r>
        <w:t xml:space="preserve">cloud environment at all.</w:t>
      </w:r>
    </w:p>
    <w:bookmarkEnd w:id="57"/>
    <w:bookmarkStart w:id="67" w:name="Xe9a9337e551917ac8279e8e385835dc784bb791"/>
    <w:p>
      <w:pPr>
        <w:pStyle w:val="Heading3"/>
      </w:pPr>
      <w:r>
        <w:t xml:space="preserve">4.7 The all-in trigger — when to retire the last distribution point</w:t>
      </w:r>
    </w:p>
    <w:p>
      <w:pPr>
        <w:pStyle w:val="FirstParagraph"/>
      </w:pPr>
      <w:r>
        <w:t xml:space="preserve">Section 4.3 sizes a 24-distribution-point tier as the</w:t>
      </w:r>
      <w:r>
        <w:t xml:space="preserve"> </w:t>
      </w:r>
      <w:r>
        <w:rPr>
          <w:i/>
          <w:iCs/>
        </w:rPr>
        <w:t xml:space="preserve">interim</w:t>
      </w:r>
      <w:r>
        <w:t xml:space="preserve"> </w:t>
      </w:r>
      <w:r>
        <w:t xml:space="preserve">consolidated state, not a new permanent floor. Configuration Manager’s</w:t>
      </w:r>
      <w:r>
        <w:t xml:space="preserve"> </w:t>
      </w:r>
      <w:r>
        <w:t xml:space="preserve">own co-management model exposes seven workload sliders — Compliance</w:t>
      </w:r>
      <w:r>
        <w:t xml:space="preserve"> </w:t>
      </w:r>
      <w:r>
        <w:t xml:space="preserve">policies, Windows Update policies, Endpoint Protection, Device</w:t>
      </w:r>
      <w:r>
        <w:t xml:space="preserve"> </w:t>
      </w:r>
      <w:r>
        <w:t xml:space="preserve">configuration, Office Click-to-Run apps, and Client apps (Resource</w:t>
      </w:r>
      <w:r>
        <w:t xml:space="preserve"> </w:t>
      </w:r>
      <w:r>
        <w:t xml:space="preserve">access policies was deprecated in version 2203)</w:t>
      </w:r>
      <w:r>
        <w:rPr>
          <w:rStyle w:val="FootnoteReference"/>
        </w:rPr>
        <w:footnoteReference w:id="58"/>
      </w:r>
      <w:r>
        <w:t xml:space="preserve"> </w:t>
      </w:r>
      <w:r>
        <w:t xml:space="preserve">—</w:t>
      </w:r>
      <w:r>
        <w:t xml:space="preserve"> </w:t>
      </w:r>
      <w:r>
        <w:t xml:space="preserve">and a distribution point still has work to do for every workload that</w:t>
      </w:r>
      <w:r>
        <w:t xml:space="preserve"> </w:t>
      </w:r>
      <w:r>
        <w:t xml:space="preserve">has not switched to Intune.</w:t>
      </w:r>
      <w:r>
        <w:t xml:space="preserve"> </w:t>
      </w:r>
      <w:r>
        <w:t xml:space="preserve">“Some workloads are on Intune”</w:t>
      </w:r>
      <w:r>
        <w:t xml:space="preserve"> </w:t>
      </w:r>
      <w:r>
        <w:t xml:space="preserve">is not the</w:t>
      </w:r>
      <w:r>
        <w:t xml:space="preserve"> </w:t>
      </w:r>
      <w:r>
        <w:t xml:space="preserve">same claim as</w:t>
      </w:r>
      <w:r>
        <w:t xml:space="preserve"> </w:t>
      </w:r>
      <w:r>
        <w:t xml:space="preserve">“the content tier can be decommissioned,”</w:t>
      </w:r>
      <w:r>
        <w:t xml:space="preserve"> </w:t>
      </w:r>
      <w:r>
        <w:t xml:space="preserve">and the two get</w:t>
      </w:r>
      <w:r>
        <w:t xml:space="preserve"> </w:t>
      </w:r>
      <w:r>
        <w:t xml:space="preserve">conflated in most modernization timelines. This section states the</w:t>
      </w:r>
      <w:r>
        <w:t xml:space="preserve"> </w:t>
      </w:r>
      <w:r>
        <w:t xml:space="preserve">difference as a checklist rather than a date.</w:t>
      </w:r>
    </w:p>
    <w:p>
      <w:pPr>
        <w:pStyle w:val="BodyText"/>
      </w:pPr>
      <w:r>
        <w:rPr>
          <w:b/>
          <w:bCs/>
        </w:rPr>
        <w:t xml:space="preserve">Retire the last distribution point only when all five gates below are</w:t>
      </w:r>
      <w:r>
        <w:rPr>
          <w:b/>
          <w:bCs/>
        </w:rPr>
        <w:t xml:space="preserve"> </w:t>
      </w:r>
      <w:r>
        <w:rPr>
          <w:b/>
          <w:bCs/>
        </w:rPr>
        <w:t xml:space="preserve">closed — not on a calendar milestone: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Gate</w:t>
            </w:r>
          </w:p>
        </w:tc>
        <w:tc>
          <w:tcPr/>
          <w:p>
            <w:pPr>
              <w:pStyle w:val="Compact"/>
            </w:pPr>
            <w:r>
              <w:t xml:space="preserve">Closed when</w:t>
            </w:r>
          </w:p>
        </w:tc>
        <w:tc>
          <w:tcPr/>
          <w:p>
            <w:pPr>
              <w:pStyle w:val="Compact"/>
            </w:pPr>
            <w:r>
              <w:t xml:space="preserve">Why it’s binding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App content</w:t>
            </w:r>
          </w:p>
        </w:tc>
        <w:tc>
          <w:tcPr/>
          <w:p>
            <w:pPr>
              <w:pStyle w:val="Compact"/>
            </w:pPr>
            <w:r>
              <w:t xml:space="preserve">Client Apps and Office Click-to-Run Apps workloads are switched to Intune for the full validated endpoint population</w:t>
            </w:r>
          </w:p>
        </w:tc>
        <w:tc>
          <w:tcPr/>
          <w:p>
            <w:pPr>
              <w:pStyle w:val="Compact"/>
            </w:pPr>
            <w:r>
              <w:t xml:space="preserve">Until switched, apps deployed from Configuration Manager remain in Software Center and still pull from a distribution point; only content already migrated to Intune’s Company Portal path stops needing one</w:t>
            </w:r>
            <w:r>
              <w:rPr>
                <w:rStyle w:val="FootnoteReference"/>
              </w:rPr>
              <w:footnoteReference w:id="60"/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Update content</w:t>
            </w:r>
          </w:p>
        </w:tc>
        <w:tc>
          <w:tcPr/>
          <w:p>
            <w:pPr>
              <w:pStyle w:val="Compact"/>
            </w:pPr>
            <w:r>
              <w:t xml:space="preserve">Windows Update Policies and Device Configuration workloads are switched to Intune</w:t>
            </w:r>
          </w:p>
        </w:tc>
        <w:tc>
          <w:tcPr/>
          <w:p>
            <w:pPr>
              <w:pStyle w:val="Compact"/>
            </w:pPr>
            <w:r>
              <w:t xml:space="preserve">Same mechanism as Gate 1, applied to feature/quality updates rather than apps; this pairing is also Microsoft’s own prerequisite for Windows Autopatch, a useful external forcing function to anchor the timeline to</w:t>
            </w:r>
            <w:r>
              <w:rPr>
                <w:rStyle w:val="FootnoteReference"/>
              </w:rPr>
              <w:footnoteReference w:id="61"/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OS provisioning</w:t>
            </w:r>
          </w:p>
        </w:tc>
        <w:tc>
          <w:tcPr/>
          <w:p>
            <w:pPr>
              <w:pStyle w:val="Compact"/>
            </w:pPr>
            <w:r>
              <w:t xml:space="preserve">Bare-metal imaging has moved from Configuration Manager task sequences to Windows Autopilot (user-driven, pre-provisioned, or device preparation)</w:t>
            </w:r>
          </w:p>
        </w:tc>
        <w:tc>
          <w:tcPr/>
          <w:p>
            <w:pPr>
              <w:pStyle w:val="Compact"/>
            </w:pPr>
            <w:r>
              <w:t xml:space="preserve">OS deployment is not a co-management workload at all — it is the one dependency the slider model doesn’t cover, and the most common reason a</w:t>
            </w:r>
            <w:r>
              <w:t xml:space="preserve"> </w:t>
            </w:r>
            <w:r>
              <w:t xml:space="preserve">“just in case”</w:t>
            </w:r>
            <w:r>
              <w:t xml:space="preserve"> </w:t>
            </w:r>
            <w:r>
              <w:t xml:space="preserve">distribution point survives after every workload above has switched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Content caching role</w:t>
            </w:r>
          </w:p>
        </w:tc>
        <w:tc>
          <w:tcPr/>
          <w:p>
            <w:pPr>
              <w:pStyle w:val="Compact"/>
            </w:pPr>
            <w:r>
              <w:t xml:space="preserve">Any Microsoft Connected Cache instance has moved off distribution-point hardware, or is not needed given the DIA circuits this program installs</w:t>
            </w:r>
          </w:p>
        </w:tc>
        <w:tc>
          <w:tcPr/>
          <w:p>
            <w:pPr>
              <w:pStyle w:val="Compact"/>
            </w:pPr>
            <w:r>
              <w:t xml:space="preserve">Microsoft Connected Cache can run</w:t>
            </w:r>
            <w:r>
              <w:t xml:space="preserve"> </w:t>
            </w:r>
            <w:r>
              <w:rPr>
                <w:i/>
                <w:iCs/>
              </w:rPr>
              <w:t xml:space="preserve">on</w:t>
            </w:r>
            <w:r>
              <w:t xml:space="preserve"> </w:t>
            </w:r>
            <w:r>
              <w:t xml:space="preserve">a Configuration Manager distribution point and continue serving Intune Win32 app content to co-managed clients — meaning a distribution point can survive the first three gates in a caching-only role and still require patching, accreditation, and a site-system footprint</w:t>
            </w:r>
            <w:r>
              <w:rPr>
                <w:rStyle w:val="FootnoteReference"/>
              </w:rPr>
              <w:footnoteReference w:id="63"/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Compliance evidence</w:t>
            </w:r>
          </w:p>
        </w:tc>
        <w:tc>
          <w:tcPr/>
          <w:p>
            <w:pPr>
              <w:pStyle w:val="Compact"/>
            </w:pPr>
            <w:r>
              <w:t xml:space="preserve">Compliance policy and Endpoint Protection reporting no longer cite the Configuration Manager site database as their evidence source</w:t>
            </w:r>
          </w:p>
        </w:tc>
        <w:tc>
          <w:tcPr/>
          <w:p>
            <w:pPr>
              <w:pStyle w:val="Compact"/>
            </w:pPr>
            <w:r>
              <w:t xml:space="preserve">Closing content delivery does not by itself close the compliance-reporting dependency; confirm with the security architecture organization before decommissioning the site infrastructure that produces this evidence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This is a gate, not a date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Phase 3 in Section 7 treats Configuration Manager scope as narrowing</w:t>
            </w:r>
            <w:r>
              <w:t xml:space="preserve"> </w:t>
            </w:r>
            <w:r>
              <w:t xml:space="preserve">“in</w:t>
            </w:r>
            <w:r>
              <w:t xml:space="preserve"> </w:t>
            </w:r>
            <w:r>
              <w:t xml:space="preserve">line with co-management progress.”</w:t>
            </w:r>
            <w:r>
              <w:t xml:space="preserve"> </w:t>
            </w:r>
            <w:r>
              <w:t xml:space="preserve">That phrasing is intentionally</w:t>
            </w:r>
            <w:r>
              <w:t xml:space="preserve"> </w:t>
            </w:r>
            <w:r>
              <w:t xml:space="preserve">non-committal because the honest trigger is the five gates above, not a</w:t>
            </w:r>
            <w:r>
              <w:t xml:space="preserve"> </w:t>
            </w:r>
            <w:r>
              <w:t xml:space="preserve">fixed month. An agency that reaches all five gates in month 30 should</w:t>
            </w:r>
            <w:r>
              <w:t xml:space="preserve"> </w:t>
            </w:r>
            <w:r>
              <w:t xml:space="preserve">retire its last distribution point in month 30, not wait for a Phase 3</w:t>
            </w:r>
            <w:r>
              <w:t xml:space="preserve"> </w:t>
            </w:r>
            <w:r>
              <w:t xml:space="preserve">date chosen before co-management maturity (Assumption 7, Section 9) was</w:t>
            </w:r>
            <w:r>
              <w:t xml:space="preserve"> </w:t>
            </w:r>
            <w:r>
              <w:t xml:space="preserve">known. An agency that has not reached them by month 60 should keep the</w:t>
            </w:r>
            <w:r>
              <w:t xml:space="preserve"> </w:t>
            </w:r>
            <w:r>
              <w:t xml:space="preserve">24-distribution-point tier rather than force a cutover against an open</w:t>
            </w:r>
            <w:r>
              <w:t xml:space="preserve"> </w:t>
            </w:r>
            <w:r>
              <w:t xml:space="preserve">gate.</w:t>
            </w:r>
          </w:p>
          <w:p/>
        </w:tc>
      </w:tr>
    </w:tbl>
    <w:bookmarkEnd w:id="67"/>
    <w:bookmarkStart w:id="68" w:name="X3c28e2de1182b16ee4a7ec5dc7f9c2303e2993a"/>
    <w:p>
      <w:pPr>
        <w:pStyle w:val="Heading3"/>
      </w:pPr>
      <w:r>
        <w:t xml:space="preserve">4.8 Compliance and reporting drivers, independent of cost</w:t>
      </w:r>
    </w:p>
    <w:p>
      <w:pPr>
        <w:pStyle w:val="FirstParagraph"/>
      </w:pPr>
      <w:r>
        <w:t xml:space="preserve">Sections 2 through 6 make the economic case: even under downside MPLS</w:t>
      </w:r>
      <w:r>
        <w:t xml:space="preserve"> </w:t>
      </w:r>
      <w:r>
        <w:t xml:space="preserve">assumptions, this program is cheaper than the proposed refresh. That</w:t>
      </w:r>
      <w:r>
        <w:t xml:space="preserve"> </w:t>
      </w:r>
      <w:r>
        <w:t xml:space="preserve">economic case is not the only one — NIST, CISA, and the the compliance series</w:t>
      </w:r>
      <w:r>
        <w:t xml:space="preserve"> </w:t>
      </w:r>
      <w:r>
        <w:t xml:space="preserve">control-closure ledger this corpus maintains give the agency reasons to</w:t>
      </w:r>
      <w:r>
        <w:t xml:space="preserve"> </w:t>
      </w:r>
      <w:r>
        <w:t xml:space="preserve">build SD-WAN and TIC 3.0 branch breakout at these 1,500 sites that hold</w:t>
      </w:r>
      <w:r>
        <w:t xml:space="preserve"> </w:t>
      </w:r>
      <w:r>
        <w:t xml:space="preserve">even if Section 6.3’s sensitivity analysis had come out unfavorably.</w:t>
      </w:r>
      <w:r>
        <w:t xml:space="preserve"> </w:t>
      </w:r>
      <w:r>
        <w:t xml:space="preserve">The control-by-control mapping (SC-7, SC-8, AC-4, SI-3, SI-4, AU-12,</w:t>
      </w:r>
      <w:r>
        <w:t xml:space="preserve"> </w:t>
      </w:r>
      <w:r>
        <w:t xml:space="preserve">CP-8), the CISA Zero Trust Maturity Model v2.0 cross-cutting-capability</w:t>
      </w:r>
      <w:r>
        <w:t xml:space="preserve"> </w:t>
      </w:r>
      <w:r>
        <w:t xml:space="preserve">argument, and the BOD-25-01 sequencing lesson are detailed in Appendix</w:t>
      </w:r>
      <w:r>
        <w:t xml:space="preserve"> </w:t>
      </w:r>
      <w:r>
        <w:t xml:space="preserve">A.2, to keep this section focused on the architecture it justifies.</w:t>
      </w:r>
      <w:r>
        <w:t xml:space="preserve"> </w:t>
      </w:r>
      <w:r>
        <w:t xml:space="preserve">The finding that carries forward: none of those controls are claimed</w:t>
      </w:r>
      <w:r>
        <w:t xml:space="preserve"> </w:t>
      </w:r>
      <w:r>
        <w:t xml:space="preserve">by hardware sitting idle in a closet — they are claimed by the SD-WAN,</w:t>
      </w:r>
      <w:r>
        <w:t xml:space="preserve"> </w:t>
      </w:r>
      <w:r>
        <w:t xml:space="preserve">SASE, and diverse-transport architecture Section 4 already specifies,</w:t>
      </w:r>
      <w:r>
        <w:t xml:space="preserve"> </w:t>
      </w:r>
      <w:r>
        <w:t xml:space="preserve">which means the compliance case and the architecture case point at the</w:t>
      </w:r>
      <w:r>
        <w:t xml:space="preserve"> </w:t>
      </w:r>
      <w:r>
        <w:t xml:space="preserve">same build, not two different ones.</w:t>
      </w:r>
    </w:p>
    <w:bookmarkEnd w:id="68"/>
    <w:bookmarkStart w:id="74" w:name="X3842478c8a9dd5853373234580734c7890c4d25"/>
    <w:p>
      <w:pPr>
        <w:pStyle w:val="Heading3"/>
      </w:pPr>
      <w:r>
        <w:t xml:space="preserve">4.9 CISA telemetry continuity — CLAW and Protective DNS replace MTIPS</w:t>
      </w:r>
    </w:p>
    <w:p>
      <w:pPr>
        <w:pStyle w:val="FirstParagraph"/>
      </w:pPr>
      <w:r>
        <w:t xml:space="preserve">Regional breakout removes 1,500 branches from the MTIPS-provided</w:t>
      </w:r>
      <w:r>
        <w:t xml:space="preserve"> </w:t>
      </w:r>
      <w:r>
        <w:t xml:space="preserve">sensors that currently generate EINSTEIN 1 Enhanced (E1E) telemetry —</w:t>
      </w:r>
      <w:r>
        <w:t xml:space="preserve"> </w:t>
      </w:r>
      <w:r>
        <w:t xml:space="preserve">today’s mechanism for sharing network visibility with CISA. That</w:t>
      </w:r>
      <w:r>
        <w:t xml:space="preserve"> </w:t>
      </w:r>
      <w:r>
        <w:t xml:space="preserve">telemetry does not survive the transition by default; it has to be</w:t>
      </w:r>
      <w:r>
        <w:t xml:space="preserve"> </w:t>
      </w:r>
      <w:r>
        <w:t xml:space="preserve">replaced, and CISA’s own architecture guidance for exactly this</w:t>
      </w:r>
      <w:r>
        <w:t xml:space="preserve"> </w:t>
      </w:r>
      <w:r>
        <w:t xml:space="preserve">migration path names the replacement mechanism directly: agencies</w:t>
      </w:r>
      <w:r>
        <w:t xml:space="preserve"> </w:t>
      </w:r>
      <w:r>
        <w:t xml:space="preserve">moving from MTIPS to a SASE-based architecture route the equivalent</w:t>
      </w:r>
      <w:r>
        <w:t xml:space="preserve"> </w:t>
      </w:r>
      <w:r>
        <w:t xml:space="preserve">telemetry to CISA’s Cloud Log Aggregation Warehouse</w:t>
      </w:r>
      <w:r>
        <w:t xml:space="preserve"> </w:t>
      </w:r>
      <w:r>
        <w:t xml:space="preserve">(CLAW).</w:t>
      </w:r>
      <w:r>
        <w:rPr>
          <w:rStyle w:val="FootnoteReference"/>
        </w:rPr>
        <w:footnoteReference w:id="69"/>
      </w:r>
    </w:p>
    <w:p>
      <w:pPr>
        <w:pStyle w:val="BodyText"/>
      </w:pPr>
      <w:r>
        <w:t xml:space="preserve">Two things about this belong in the program plan, not left implicit: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CLAW onboarding is a three-way coordination effort</w:t>
      </w:r>
      <w:r>
        <w:t xml:space="preserve"> </w:t>
      </w:r>
      <w:r>
        <w:t xml:space="preserve">— the agency,</w:t>
      </w:r>
      <w:r>
        <w:t xml:space="preserve"> </w:t>
      </w:r>
      <w:r>
        <w:t xml:space="preserve">CISA, and the SD-WAN/SASE vendor — not a configuration change a</w:t>
      </w:r>
      <w:r>
        <w:t xml:space="preserve"> </w:t>
      </w:r>
      <w:r>
        <w:t xml:space="preserve">network team completes alone. The guidance states this explicitly:</w:t>
      </w:r>
      <w:r>
        <w:t xml:space="preserve"> </w:t>
      </w:r>
      <w:r>
        <w:t xml:space="preserve">implementing the integration</w:t>
      </w:r>
      <w:r>
        <w:t xml:space="preserve"> </w:t>
      </w:r>
      <w:r>
        <w:t xml:space="preserve">“requires coordination among agencies,</w:t>
      </w:r>
      <w:r>
        <w:t xml:space="preserve"> </w:t>
      </w:r>
      <w:r>
        <w:t xml:space="preserve">CISA, and [the SASE solution] to enable the secure and reliable</w:t>
      </w:r>
      <w:r>
        <w:t xml:space="preserve"> </w:t>
      </w:r>
      <w:r>
        <w:t xml:space="preserve">transmission of relevant telemetry … to CLAW.”</w:t>
      </w:r>
      <w:r>
        <w:rPr>
          <w:rStyle w:val="FootnoteReference"/>
        </w:rPr>
        <w:footnoteReference w:id="71"/>
      </w:r>
      <w:r>
        <w:t xml:space="preserve"> </w:t>
      </w:r>
      <w:r>
        <w:t xml:space="preserve">That coordination has its own lead time, and it belongs on the</w:t>
      </w:r>
      <w:r>
        <w:t xml:space="preserve"> </w:t>
      </w:r>
      <w:r>
        <w:t xml:space="preserve">Phase 0/1 critical path alongside the TIC 3.0 accreditation package</w:t>
      </w:r>
      <w:r>
        <w:t xml:space="preserve"> </w:t>
      </w:r>
      <w:r>
        <w:t xml:space="preserve">Section 4.5 already names — not treated as a Phase 2 cutover detail</w:t>
      </w:r>
      <w:r>
        <w:t xml:space="preserve"> </w:t>
      </w:r>
      <w:r>
        <w:t xml:space="preserve">discovered after circuits are already ordered.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MTIPS should not be decommissioned before CLAW telemetry is</w:t>
      </w:r>
      <w:r>
        <w:rPr>
          <w:b/>
          <w:bCs/>
        </w:rPr>
        <w:t xml:space="preserve"> </w:t>
      </w:r>
      <w:r>
        <w:rPr>
          <w:b/>
          <w:bCs/>
        </w:rPr>
        <w:t xml:space="preserve">confirmed flowing.</w:t>
      </w:r>
      <w:r>
        <w:t xml:space="preserve"> </w:t>
      </w:r>
      <w:r>
        <w:t xml:space="preserve">Section 7’s Phase 2 exit criterion should read</w:t>
      </w:r>
      <w:r>
        <w:t xml:space="preserve"> </w:t>
      </w:r>
      <w:r>
        <w:t xml:space="preserve">as gated on confirmed CLAW parity, not on branch cutover completion</w:t>
      </w:r>
      <w:r>
        <w:t xml:space="preserve"> </w:t>
      </w:r>
      <w:r>
        <w:t xml:space="preserve">alone: decommissioning MTIPS circuits before CISA confirms equivalent</w:t>
      </w:r>
      <w:r>
        <w:t xml:space="preserve"> </w:t>
      </w:r>
      <w:r>
        <w:t xml:space="preserve">visibility through CLAW trades a compliance gap in E1E telemetry for</w:t>
      </w:r>
      <w:r>
        <w:t xml:space="preserve"> </w:t>
      </w:r>
      <w:r>
        <w:t xml:space="preserve">a gap in transport — a worse position than the one being fixed, not</w:t>
      </w:r>
      <w:r>
        <w:t xml:space="preserve"> </w:t>
      </w:r>
      <w:r>
        <w:t xml:space="preserve">a clean cutover.</w:t>
      </w:r>
    </w:p>
    <w:p>
      <w:pPr>
        <w:pStyle w:val="FirstParagraph"/>
      </w:pPr>
      <w:r>
        <w:t xml:space="preserve">The same integration point closes a second, independent federal</w:t>
      </w:r>
      <w:r>
        <w:t xml:space="preserve"> </w:t>
      </w:r>
      <w:r>
        <w:t xml:space="preserve">requirement. CISA’s guidance directs agencies to route DNS traffic</w:t>
      </w:r>
      <w:r>
        <w:t xml:space="preserve"> </w:t>
      </w:r>
      <w:r>
        <w:t xml:space="preserve">through the SASE solution to CISA’s Protective DNS service via DNS-</w:t>
      </w:r>
      <w:r>
        <w:t xml:space="preserve"> </w:t>
      </w:r>
      <w:r>
        <w:t xml:space="preserve">over-HTTPS — the mechanism CISA identifies as satisfying OMB M-22-09’s</w:t>
      </w:r>
      <w:r>
        <w:t xml:space="preserve"> </w:t>
      </w:r>
      <w:r>
        <w:t xml:space="preserve">requirement to</w:t>
      </w:r>
      <w:r>
        <w:t xml:space="preserve"> </w:t>
      </w:r>
      <w:r>
        <w:t xml:space="preserve">“resolve DNS queries using encrypted DNS wherever it is</w:t>
      </w:r>
      <w:r>
        <w:t xml:space="preserve"> </w:t>
      </w:r>
      <w:r>
        <w:t xml:space="preserve">technically supported.”</w:t>
      </w:r>
      <w:r>
        <w:rPr>
          <w:rStyle w:val="FootnoteReference"/>
        </w:rPr>
        <w:footnoteReference w:id="72"/>
      </w:r>
      <w:r>
        <w:t xml:space="preserve"> </w:t>
      </w:r>
      <w:r>
        <w:t xml:space="preserve">This program’s SD-WAN/SASE</w:t>
      </w:r>
      <w:r>
        <w:t xml:space="preserve"> </w:t>
      </w:r>
      <w:r>
        <w:t xml:space="preserve">build (Sections 4.4–4.5) is the natural place to configure that</w:t>
      </w:r>
      <w:r>
        <w:t xml:space="preserve"> </w:t>
      </w:r>
      <w:r>
        <w:t xml:space="preserve">integration; it should be scoped into Phase 1 alongside SSE enforcement</w:t>
      </w:r>
      <w:r>
        <w:t xml:space="preserve"> </w:t>
      </w:r>
      <w:r>
        <w:t xml:space="preserve">rather than deferred as a later enhancement.</w:t>
      </w:r>
    </w:p>
    <w:p>
      <w:pPr>
        <w:pStyle w:val="BodyText"/>
      </w:pPr>
      <w:r>
        <w:t xml:space="preserve">CISA’s own capability-to-technology mapping (Appendix A of the same</w:t>
      </w:r>
      <w:r>
        <w:t xml:space="preserve"> </w:t>
      </w:r>
      <w:r>
        <w:t xml:space="preserve">guidance) also cross-checks the control closures Appendix A.2 claims</w:t>
      </w:r>
      <w:r>
        <w:t xml:space="preserve"> </w:t>
      </w:r>
      <w:r>
        <w:t xml:space="preserve">for this program’s architecture: CISA maps its TIC Policy Enforcement</w:t>
      </w:r>
      <w:r>
        <w:t xml:space="preserve"> </w:t>
      </w:r>
      <w:r>
        <w:t xml:space="preserve">Point (PEP) Security Capability Groups directly to SASE, NGFW, and IAM</w:t>
      </w:r>
      <w:r>
        <w:t xml:space="preserve"> </w:t>
      </w:r>
      <w:r>
        <w:t xml:space="preserve">— the same technology classes Section 4 already specifies — with DNS</w:t>
      </w:r>
      <w:r>
        <w:t xml:space="preserve"> </w:t>
      </w:r>
      <w:r>
        <w:t xml:space="preserve">PEP Capabilities mapped specifically to SASE plus Protective DNS, which</w:t>
      </w:r>
      <w:r>
        <w:t xml:space="preserve"> </w:t>
      </w:r>
      <w:r>
        <w:t xml:space="preserve">is the closure this subsection adds.</w:t>
      </w:r>
      <w:r>
        <w:rPr>
          <w:rStyle w:val="FootnoteReference"/>
        </w:rPr>
        <w:footnoteReference w:id="73"/>
      </w:r>
    </w:p>
    <w:bookmarkEnd w:id="74"/>
    <w:bookmarkEnd w:id="75"/>
    <w:bookmarkStart w:id="80" w:name="sizing-and-bill-of-materials"/>
    <w:p>
      <w:pPr>
        <w:pStyle w:val="Heading2"/>
      </w:pPr>
      <w:r>
        <w:t xml:space="preserve">5. Sizing and Bill of Materials</w:t>
      </w:r>
    </w:p>
    <w:p>
      <w:pPr>
        <w:pStyle w:val="FirstParagraph"/>
      </w:pPr>
      <w:r>
        <w:t xml:space="preserve">Figures reflect published list pricing with a 40% federal discount</w:t>
      </w:r>
      <w:r>
        <w:t xml:space="preserve"> </w:t>
      </w:r>
      <w:r>
        <w:t xml:space="preserve">applied to hardware, consistent with typical reseller and enterprise</w:t>
      </w:r>
      <w:r>
        <w:t xml:space="preserve"> </w:t>
      </w:r>
      <w:r>
        <w:t xml:space="preserve">agreement terms. These are planning estimates, not quotes. The bill of</w:t>
      </w:r>
      <w:r>
        <w:t xml:space="preserve"> </w:t>
      </w:r>
      <w:r>
        <w:t xml:space="preserve">materials below uses Cisco Catalyst SD-WAN as a concrete, costable</w:t>
      </w:r>
      <w:r>
        <w:t xml:space="preserve"> </w:t>
      </w:r>
      <w:r>
        <w:t xml:space="preserve">worked example; an agency selecting a different SD-WAN vendor should</w:t>
      </w:r>
      <w:r>
        <w:t xml:space="preserve"> </w:t>
      </w:r>
      <w:r>
        <w:t xml:space="preserve">substitute equivalent line items — the sizing logic (12 hubs, 24</w:t>
      </w:r>
      <w:r>
        <w:t xml:space="preserve"> </w:t>
      </w:r>
      <w:r>
        <w:t xml:space="preserve">distribution points, tiered branch circuits) does not depend on this</w:t>
      </w:r>
      <w:r>
        <w:t xml:space="preserve"> </w:t>
      </w:r>
      <w:r>
        <w:t xml:space="preserve">vendor choice.</w:t>
      </w:r>
    </w:p>
    <w:bookmarkStart w:id="76" w:name="branch-equipment"/>
    <w:p>
      <w:pPr>
        <w:pStyle w:val="Heading3"/>
      </w:pPr>
      <w:r>
        <w:t xml:space="preserve">5.1 Branch equipment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Qty</w:t>
            </w:r>
          </w:p>
        </w:tc>
        <w:tc>
          <w:tcPr/>
          <w:p>
            <w:pPr>
              <w:pStyle w:val="Compact"/>
            </w:pPr>
            <w:r>
              <w:t xml:space="preserve">List</w:t>
            </w:r>
          </w:p>
        </w:tc>
        <w:tc>
          <w:tcPr/>
          <w:p>
            <w:pPr>
              <w:pStyle w:val="Compact"/>
            </w:pPr>
            <w:r>
              <w:t xml:space="preserve">Net</w:t>
            </w:r>
          </w:p>
        </w:tc>
        <w:tc>
          <w:tcPr/>
          <w:p>
            <w:pPr>
              <w:pStyle w:val="Compact"/>
            </w:pPr>
            <w:r>
              <w:t xml:space="preserve">Extended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Catalyst C8200L-1N-4T (Tier S)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$2,500</w:t>
            </w:r>
          </w:p>
        </w:tc>
        <w:tc>
          <w:tcPr/>
          <w:p>
            <w:pPr>
              <w:pStyle w:val="Compact"/>
            </w:pPr>
            <w:r>
              <w:t xml:space="preserve">$1,500</w:t>
            </w:r>
          </w:p>
        </w:tc>
        <w:tc>
          <w:tcPr/>
          <w:p>
            <w:pPr>
              <w:pStyle w:val="Compact"/>
            </w:pPr>
            <w:r>
              <w:t xml:space="preserve">$1,125,000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Catalyst C8200-1N-4T (Tier M)</w:t>
            </w:r>
          </w:p>
        </w:tc>
        <w:tc>
          <w:tcPr/>
          <w:p>
            <w:pPr>
              <w:pStyle w:val="Compact"/>
            </w:pPr>
            <w:r>
              <w:t xml:space="preserve">525</w:t>
            </w:r>
          </w:p>
        </w:tc>
        <w:tc>
          <w:tcPr/>
          <w:p>
            <w:pPr>
              <w:pStyle w:val="Compact"/>
            </w:pPr>
            <w:r>
              <w:t xml:space="preserve">$4,000</w:t>
            </w:r>
          </w:p>
        </w:tc>
        <w:tc>
          <w:tcPr/>
          <w:p>
            <w:pPr>
              <w:pStyle w:val="Compact"/>
            </w:pPr>
            <w:r>
              <w:t xml:space="preserve">$2,400</w:t>
            </w:r>
          </w:p>
        </w:tc>
        <w:tc>
          <w:tcPr/>
          <w:p>
            <w:pPr>
              <w:pStyle w:val="Compact"/>
            </w:pPr>
            <w:r>
              <w:t xml:space="preserve">$1,260,000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Catalyst C8300-1N1S-4T2X (Tier L)</w:t>
            </w:r>
          </w:p>
        </w:tc>
        <w:tc>
          <w:tcPr/>
          <w:p>
            <w:pPr>
              <w:pStyle w:val="Compact"/>
            </w:pPr>
            <w:r>
              <w:t xml:space="preserve">225</w:t>
            </w:r>
          </w:p>
        </w:tc>
        <w:tc>
          <w:tcPr/>
          <w:p>
            <w:pPr>
              <w:pStyle w:val="Compact"/>
            </w:pPr>
            <w:r>
              <w:t xml:space="preserve">$10,000</w:t>
            </w:r>
          </w:p>
        </w:tc>
        <w:tc>
          <w:tcPr/>
          <w:p>
            <w:pPr>
              <w:pStyle w:val="Compact"/>
            </w:pPr>
            <w:r>
              <w:t xml:space="preserve">$6,000</w:t>
            </w:r>
          </w:p>
        </w:tc>
        <w:tc>
          <w:tcPr/>
          <w:p>
            <w:pPr>
              <w:pStyle w:val="Compact"/>
            </w:pPr>
            <w:r>
              <w:t xml:space="preserve">$1,350,000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5G module or cellular gateway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$1,500</w:t>
            </w:r>
          </w:p>
        </w:tc>
        <w:tc>
          <w:tcPr/>
          <w:p>
            <w:pPr>
              <w:pStyle w:val="Compact"/>
            </w:pPr>
            <w:r>
              <w:t xml:space="preserve">$900</w:t>
            </w:r>
          </w:p>
        </w:tc>
        <w:tc>
          <w:tcPr/>
          <w:p>
            <w:pPr>
              <w:pStyle w:val="Compact"/>
            </w:pPr>
            <w:r>
              <w:t xml:space="preserve">$1,350,000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Branch subtotal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$5,085,000</w:t>
            </w:r>
          </w:p>
        </w:tc>
      </w:tr>
    </w:tbl>
    <w:bookmarkEnd w:id="76"/>
    <w:bookmarkStart w:id="77" w:name="hub-equipment"/>
    <w:p>
      <w:pPr>
        <w:pStyle w:val="Heading3"/>
      </w:pPr>
      <w:r>
        <w:t xml:space="preserve">5.2 Hub equipment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Qty</w:t>
            </w:r>
          </w:p>
        </w:tc>
        <w:tc>
          <w:tcPr/>
          <w:p>
            <w:pPr>
              <w:pStyle w:val="Compact"/>
            </w:pPr>
            <w:r>
              <w:t xml:space="preserve">List</w:t>
            </w:r>
          </w:p>
        </w:tc>
        <w:tc>
          <w:tcPr/>
          <w:p>
            <w:pPr>
              <w:pStyle w:val="Compact"/>
            </w:pPr>
            <w:r>
              <w:t xml:space="preserve">Net</w:t>
            </w:r>
          </w:p>
        </w:tc>
        <w:tc>
          <w:tcPr/>
          <w:p>
            <w:pPr>
              <w:pStyle w:val="Compact"/>
            </w:pPr>
            <w:r>
              <w:t xml:space="preserve">Extended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Catalyst C8500L-8S4X (HA pairs, 12 sites)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$30,000</w:t>
            </w:r>
          </w:p>
        </w:tc>
        <w:tc>
          <w:tcPr/>
          <w:p>
            <w:pPr>
              <w:pStyle w:val="Compact"/>
            </w:pPr>
            <w:r>
              <w:t xml:space="preserve">$18,000</w:t>
            </w:r>
          </w:p>
        </w:tc>
        <w:tc>
          <w:tcPr/>
          <w:p>
            <w:pPr>
              <w:pStyle w:val="Compact"/>
            </w:pPr>
            <w:r>
              <w:t xml:space="preserve">$432,000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Distribution point servers (1U, ECC, OOB mgmt)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$12,000</w:t>
            </w:r>
          </w:p>
        </w:tc>
        <w:tc>
          <w:tcPr/>
          <w:p>
            <w:pPr>
              <w:pStyle w:val="Compact"/>
            </w:pPr>
            <w:r>
              <w:t xml:space="preserve">$12,000</w:t>
            </w:r>
          </w:p>
        </w:tc>
        <w:tc>
          <w:tcPr/>
          <w:p>
            <w:pPr>
              <w:pStyle w:val="Compact"/>
            </w:pPr>
            <w:r>
              <w:t xml:space="preserve">$288,000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Windows Server 2025 Standard, 16-core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$1,036</w:t>
            </w:r>
          </w:p>
        </w:tc>
        <w:tc>
          <w:tcPr/>
          <w:p>
            <w:pPr>
              <w:pStyle w:val="Compact"/>
            </w:pPr>
            <w:r>
              <w:t xml:space="preserve">$1,036</w:t>
            </w:r>
          </w:p>
        </w:tc>
        <w:tc>
          <w:tcPr/>
          <w:p>
            <w:pPr>
              <w:pStyle w:val="Compact"/>
            </w:pPr>
            <w:r>
              <w:t xml:space="preserve">$24,864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Hub switching, rack, power, cabling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$25,000</w:t>
            </w:r>
          </w:p>
        </w:tc>
        <w:tc>
          <w:tcPr/>
          <w:p>
            <w:pPr>
              <w:pStyle w:val="Compact"/>
            </w:pPr>
            <w:r>
              <w:t xml:space="preserve">$25,000</w:t>
            </w:r>
          </w:p>
        </w:tc>
        <w:tc>
          <w:tcPr/>
          <w:p>
            <w:pPr>
              <w:pStyle w:val="Compact"/>
            </w:pPr>
            <w:r>
              <w:t xml:space="preserve">$300,000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Hub subtotal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$1,044,864</w:t>
            </w:r>
          </w:p>
        </w:tc>
      </w:tr>
    </w:tbl>
    <w:bookmarkEnd w:id="77"/>
    <w:bookmarkStart w:id="78" w:name="control-plane-and-services"/>
    <w:p>
      <w:pPr>
        <w:pStyle w:val="Heading3"/>
      </w:pPr>
      <w:r>
        <w:t xml:space="preserve">5.3 Control plane and services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Extended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SD-WAN Manager cluster, Validator, Controller — on premises, dual site</w:t>
            </w:r>
          </w:p>
        </w:tc>
        <w:tc>
          <w:tcPr/>
          <w:p>
            <w:pPr>
              <w:pStyle w:val="Compact"/>
            </w:pPr>
            <w:r>
              <w:t xml:space="preserve">14 virtual machines plus compute</w:t>
            </w:r>
          </w:p>
        </w:tc>
        <w:tc>
          <w:tcPr/>
          <w:p>
            <w:pPr>
              <w:pStyle w:val="Compact"/>
            </w:pPr>
            <w:r>
              <w:t xml:space="preserve">$400,000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Zero-touch provisioning staging and remote configuration</w:t>
            </w:r>
          </w:p>
        </w:tc>
        <w:tc>
          <w:tcPr/>
          <w:p>
            <w:pPr>
              <w:pStyle w:val="Compact"/>
            </w:pPr>
            <w:r>
              <w:t xml:space="preserve">1,500 sites at $800</w:t>
            </w:r>
          </w:p>
        </w:tc>
        <w:tc>
          <w:tcPr/>
          <w:p>
            <w:pPr>
              <w:pStyle w:val="Compact"/>
            </w:pPr>
            <w:r>
              <w:t xml:space="preserve">$1,200,000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Field installation where ZTP is not viable</w:t>
            </w:r>
          </w:p>
        </w:tc>
        <w:tc>
          <w:tcPr/>
          <w:p>
            <w:pPr>
              <w:pStyle w:val="Compact"/>
            </w:pPr>
            <w:r>
              <w:t xml:space="preserve">300 sites at $2,500</w:t>
            </w:r>
          </w:p>
        </w:tc>
        <w:tc>
          <w:tcPr/>
          <w:p>
            <w:pPr>
              <w:pStyle w:val="Compact"/>
            </w:pPr>
            <w:r>
              <w:t xml:space="preserve">$750,000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Architecture, control plane build, hub deployment, migration engineering</w:t>
            </w:r>
          </w:p>
        </w:tc>
        <w:tc>
          <w:tcPr/>
          <w:p>
            <w:pPr>
              <w:pStyle w:val="Compact"/>
            </w:pPr>
            <w:r>
              <w:t xml:space="preserve">Professional services</w:t>
            </w:r>
          </w:p>
        </w:tc>
        <w:tc>
          <w:tcPr/>
          <w:p>
            <w:pPr>
              <w:pStyle w:val="Compact"/>
            </w:pPr>
            <w:r>
              <w:t xml:space="preserve">$1,500,000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Control plane and services subtotal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$3,850,000</w:t>
            </w:r>
          </w:p>
        </w:tc>
      </w:tr>
    </w:tbl>
    <w:bookmarkEnd w:id="78"/>
    <w:bookmarkStart w:id="79" w:name="year-1-capital-summary"/>
    <w:p>
      <w:pPr>
        <w:pStyle w:val="Heading3"/>
      </w:pPr>
      <w:r>
        <w:t xml:space="preserve">5.4 Year 1 capital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Branch equipment</w:t>
            </w:r>
          </w:p>
        </w:tc>
        <w:tc>
          <w:tcPr/>
          <w:p>
            <w:pPr>
              <w:pStyle w:val="Compact"/>
            </w:pPr>
            <w:r>
              <w:t xml:space="preserve">$5,085,000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Hub equipment</w:t>
            </w:r>
          </w:p>
        </w:tc>
        <w:tc>
          <w:tcPr/>
          <w:p>
            <w:pPr>
              <w:pStyle w:val="Compact"/>
            </w:pPr>
            <w:r>
              <w:t xml:space="preserve">$1,044,864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Control plane and services</w:t>
            </w:r>
          </w:p>
        </w:tc>
        <w:tc>
          <w:tcPr/>
          <w:p>
            <w:pPr>
              <w:pStyle w:val="Compact"/>
            </w:pPr>
            <w:r>
              <w:t xml:space="preserve">$3,850,000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Year 1 capital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$9,979,864</w:t>
            </w:r>
          </w:p>
        </w:tc>
      </w:tr>
    </w:tbl>
    <w:bookmarkEnd w:id="79"/>
    <w:bookmarkEnd w:id="80"/>
    <w:bookmarkStart w:id="86" w:name="cost-model-and-sensitivity"/>
    <w:p>
      <w:pPr>
        <w:pStyle w:val="Heading2"/>
      </w:pPr>
      <w:r>
        <w:t xml:space="preserve">6. Cost Model and Sensitivity</w:t>
      </w:r>
    </w:p>
    <w:bookmarkStart w:id="81" w:name="annual-recurring-cost-at-steady-state"/>
    <w:p>
      <w:pPr>
        <w:pStyle w:val="Heading3"/>
      </w:pPr>
      <w:r>
        <w:t xml:space="preserve">6.1 Annual recurring cost at steady state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Dedicated internet access, tiered by site class</w:t>
            </w:r>
          </w:p>
        </w:tc>
        <w:tc>
          <w:tcPr/>
          <w:p>
            <w:pPr>
              <w:pStyle w:val="Compact"/>
            </w:pPr>
            <w:r>
              <w:t xml:space="preserve">750 at $350, 525 at $500, 225 at $800 per month</w:t>
            </w:r>
          </w:p>
        </w:tc>
        <w:tc>
          <w:tcPr/>
          <w:p>
            <w:pPr>
              <w:pStyle w:val="Compact"/>
            </w:pPr>
            <w:r>
              <w:t xml:space="preserve">$8,460,000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5G secondary path</w:t>
            </w:r>
          </w:p>
        </w:tc>
        <w:tc>
          <w:tcPr/>
          <w:p>
            <w:pPr>
              <w:pStyle w:val="Compact"/>
            </w:pPr>
            <w:r>
              <w:t xml:space="preserve">1,500 at $75 per month</w:t>
            </w:r>
          </w:p>
        </w:tc>
        <w:tc>
          <w:tcPr/>
          <w:p>
            <w:pPr>
              <w:pStyle w:val="Compact"/>
            </w:pPr>
            <w:r>
              <w:t xml:space="preserve">$1,350,000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Cisco Networking Subscription, branch (Advantage)</w:t>
            </w:r>
          </w:p>
        </w:tc>
        <w:tc>
          <w:tcPr/>
          <w:p>
            <w:pPr>
              <w:pStyle w:val="Compact"/>
            </w:pPr>
            <w:r>
              <w:t xml:space="preserve">1,500 at $500 per year</w:t>
            </w:r>
          </w:p>
        </w:tc>
        <w:tc>
          <w:tcPr/>
          <w:p>
            <w:pPr>
              <w:pStyle w:val="Compact"/>
            </w:pPr>
            <w:r>
              <w:t xml:space="preserve">$750,000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Cisco Networking Subscription, hub</w:t>
            </w:r>
          </w:p>
        </w:tc>
        <w:tc>
          <w:tcPr/>
          <w:p>
            <w:pPr>
              <w:pStyle w:val="Compact"/>
            </w:pPr>
            <w:r>
              <w:t xml:space="preserve">24 at $3,000 per year</w:t>
            </w:r>
          </w:p>
        </w:tc>
        <w:tc>
          <w:tcPr/>
          <w:p>
            <w:pPr>
              <w:pStyle w:val="Compact"/>
            </w:pPr>
            <w:r>
              <w:t xml:space="preserve">$72,000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Analytics and control plane support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$100,000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Hub internet transit</w:t>
            </w:r>
          </w:p>
        </w:tc>
        <w:tc>
          <w:tcPr/>
          <w:p>
            <w:pPr>
              <w:pStyle w:val="Compact"/>
            </w:pPr>
            <w:r>
              <w:t xml:space="preserve">12 at $3,000 per month</w:t>
            </w:r>
          </w:p>
        </w:tc>
        <w:tc>
          <w:tcPr/>
          <w:p>
            <w:pPr>
              <w:pStyle w:val="Compact"/>
            </w:pPr>
            <w:r>
              <w:t xml:space="preserve">$432,000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service edge (SSE) licensing</w:t>
            </w:r>
          </w:p>
        </w:tc>
        <w:tc>
          <w:tcPr/>
          <w:p>
            <w:pPr>
              <w:pStyle w:val="Compact"/>
            </w:pPr>
            <w:r>
              <w:t xml:space="preserve">70,000 users at $65 per year</w:t>
            </w:r>
          </w:p>
        </w:tc>
        <w:tc>
          <w:tcPr/>
          <w:p>
            <w:pPr>
              <w:pStyle w:val="Compact"/>
            </w:pPr>
            <w:r>
              <w:t xml:space="preserve">$4,550,000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recurring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$15,714,000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Less: MPLS retired</w:t>
            </w:r>
          </w:p>
        </w:tc>
        <w:tc>
          <w:tcPr/>
          <w:p>
            <w:pPr>
              <w:pStyle w:val="Compact"/>
            </w:pPr>
            <w:r>
              <w:t xml:space="preserve">1,500 at $1,200 per month</w:t>
            </w:r>
          </w:p>
        </w:tc>
        <w:tc>
          <w:tcPr/>
          <w:p>
            <w:pPr>
              <w:pStyle w:val="Compact"/>
            </w:pPr>
            <w:r>
              <w:t xml:space="preserve">−$21,600,000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annual position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−$5,886,000</w:t>
            </w:r>
          </w:p>
        </w:tc>
      </w:tr>
    </w:tbl>
    <w:p>
      <w:pPr>
        <w:pStyle w:val="BodyText"/>
      </w:pPr>
      <w:r>
        <w:t xml:space="preserve">At steady state the program returns approximately $5.9M per year</w:t>
      </w:r>
      <w:r>
        <w:t xml:space="preserve"> </w:t>
      </w:r>
      <w:r>
        <w:t xml:space="preserve">against the current transport baseline.</w:t>
      </w:r>
    </w:p>
    <w:bookmarkEnd w:id="81"/>
    <w:bookmarkStart w:id="82" w:name="five-year-phased-position"/>
    <w:p>
      <w:pPr>
        <w:pStyle w:val="Heading3"/>
      </w:pPr>
      <w:r>
        <w:t xml:space="preserve">6.2 Five-year phased position</w:t>
      </w:r>
    </w:p>
    <w:p>
      <w:pPr>
        <w:pStyle w:val="FirstParagraph"/>
      </w:pPr>
      <w:r>
        <w:t xml:space="preserve">Savings ramp as branches migrate to local transport at MPLS contract</w:t>
      </w:r>
      <w:r>
        <w:t xml:space="preserve"> </w:t>
      </w:r>
      <w:r>
        <w:t xml:space="preserve">renewal, rather than arriving on day one.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Migration</w:t>
            </w:r>
          </w:p>
        </w:tc>
        <w:tc>
          <w:tcPr/>
          <w:p>
            <w:pPr>
              <w:pStyle w:val="Compact"/>
            </w:pPr>
            <w:r>
              <w:t xml:space="preserve">Capital</w:t>
            </w:r>
          </w:p>
        </w:tc>
        <w:tc>
          <w:tcPr/>
          <w:p>
            <w:pPr>
              <w:pStyle w:val="Compact"/>
            </w:pPr>
            <w:r>
              <w:t xml:space="preserve">Net savings</w:t>
            </w:r>
          </w:p>
        </w:tc>
        <w:tc>
          <w:tcPr/>
          <w:p>
            <w:pPr>
              <w:pStyle w:val="Compact"/>
            </w:pPr>
            <w:r>
              <w:t xml:space="preserve">Cumulative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Design, hubs, pilot</w:t>
            </w:r>
          </w:p>
        </w:tc>
        <w:tc>
          <w:tcPr/>
          <w:p>
            <w:pPr>
              <w:pStyle w:val="Compact"/>
            </w:pPr>
            <w:r>
              <w:t xml:space="preserve">$10.0M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−$10.0M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30% of branches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$1.77M</w:t>
            </w:r>
          </w:p>
        </w:tc>
        <w:tc>
          <w:tcPr/>
          <w:p>
            <w:pPr>
              <w:pStyle w:val="Compact"/>
            </w:pPr>
            <w:r>
              <w:t xml:space="preserve">−$8.23M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70% of branches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$4.12M</w:t>
            </w:r>
          </w:p>
        </w:tc>
        <w:tc>
          <w:tcPr/>
          <w:p>
            <w:pPr>
              <w:pStyle w:val="Compact"/>
            </w:pPr>
            <w:r>
              <w:t xml:space="preserve">−$4.11M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$5.89M</w:t>
            </w:r>
          </w:p>
        </w:tc>
        <w:tc>
          <w:tcPr/>
          <w:p>
            <w:pPr>
              <w:pStyle w:val="Compact"/>
            </w:pPr>
            <w:r>
              <w:t xml:space="preserve">+$1.78M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Steady state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$5.89M</w:t>
            </w:r>
          </w:p>
        </w:tc>
        <w:tc>
          <w:tcPr/>
          <w:p>
            <w:pPr>
              <w:pStyle w:val="Compact"/>
            </w:pPr>
            <w:r>
              <w:t xml:space="preserve">+$7.67M</w:t>
            </w:r>
          </w:p>
        </w:tc>
      </w:tr>
    </w:tbl>
    <w:p>
      <w:pPr>
        <w:pStyle w:val="BodyText"/>
      </w:pPr>
      <w:r>
        <w:rPr>
          <w:b/>
          <w:bCs/>
        </w:rPr>
        <w:t xml:space="preserve">Comparison to the proposal:</w:t>
      </w:r>
      <w:r>
        <w:t xml:space="preserve"> </w:t>
      </w:r>
      <w:r>
        <w:t xml:space="preserve">the network program reaches a positive</w:t>
      </w:r>
      <w:r>
        <w:t xml:space="preserve"> </w:t>
      </w:r>
      <w:r>
        <w:t xml:space="preserve">cumulative cash position in year four. The distribution point refresh</w:t>
      </w:r>
      <w:r>
        <w:t xml:space="preserve"> </w:t>
      </w:r>
      <w:r>
        <w:t xml:space="preserve">reaches −$50M in year one and recurs at the next refresh cycle. The</w:t>
      </w:r>
      <w:r>
        <w:t xml:space="preserve"> </w:t>
      </w:r>
      <w:r>
        <w:t xml:space="preserve">five-year delta between the two paths is approximately $57.7M.</w:t>
      </w:r>
    </w:p>
    <w:p>
      <w:pPr>
        <w:pStyle w:val="BodyText"/>
      </w:pPr>
      <w:r>
        <w:t xml:space="preserve">This comparison is not scope-for-scope, and that difference is</w:t>
      </w:r>
      <w:r>
        <w:t xml:space="preserve"> </w:t>
      </w:r>
      <w:r>
        <w:t xml:space="preserve">deliberate rather than an accounting convenience. The $50M ask funds</w:t>
      </w:r>
      <w:r>
        <w:t xml:space="preserve"> </w:t>
      </w:r>
      <w:r>
        <w:t xml:space="preserve">content delivery only; the $10M program funds the network</w:t>
      </w:r>
      <w:r>
        <w:t xml:space="preserve"> </w:t>
      </w:r>
      <w:r>
        <w:t xml:space="preserve">modernization that content delivery consolidation depends on, and that</w:t>
      </w:r>
      <w:r>
        <w:t xml:space="preserve"> </w:t>
      </w:r>
      <w:r>
        <w:t xml:space="preserve">same transport and hub investment also carries M365, Teams, TIC 3.0</w:t>
      </w:r>
      <w:r>
        <w:t xml:space="preserve"> </w:t>
      </w:r>
      <w:r>
        <w:t xml:space="preserve">breakout, and the Intune migration. Funding the hub and transport layer</w:t>
      </w:r>
      <w:r>
        <w:t xml:space="preserve"> </w:t>
      </w:r>
      <w:r>
        <w:t xml:space="preserve">once rather than paying for it piecemeal under separate initiatives is</w:t>
      </w:r>
      <w:r>
        <w:t xml:space="preserve"> </w:t>
      </w:r>
      <w:r>
        <w:t xml:space="preserve">the argument, not a bonus attached to it. A sponsor who wants the</w:t>
      </w:r>
      <w:r>
        <w:t xml:space="preserve"> </w:t>
      </w:r>
      <w:r>
        <w:t xml:space="preserve">content-delivery problem solved narrowly, with no interest in the other</w:t>
      </w:r>
      <w:r>
        <w:t xml:space="preserve"> </w:t>
      </w:r>
      <w:r>
        <w:t xml:space="preserve">workloads, should weigh the $10.0M capital figure against the</w:t>
      </w:r>
      <w:r>
        <w:t xml:space="preserve"> </w:t>
      </w:r>
      <w:r>
        <w:t xml:space="preserve">transport-related recurring savings in Section 6.1 alone rather than</w:t>
      </w:r>
      <w:r>
        <w:t xml:space="preserve"> </w:t>
      </w:r>
      <w:r>
        <w:t xml:space="preserve">against the full capability list in the headline comparison.</w:t>
      </w:r>
    </w:p>
    <w:bookmarkEnd w:id="82"/>
    <w:bookmarkStart w:id="85" w:name="sensitivity-to-current-mpls-cost"/>
    <w:p>
      <w:pPr>
        <w:pStyle w:val="Heading3"/>
      </w:pPr>
      <w:r>
        <w:t xml:space="preserve">6.3 Sensitivity to current MPLS cost</w:t>
      </w:r>
    </w:p>
    <w:p>
      <w:pPr>
        <w:pStyle w:val="FirstParagraph"/>
      </w:pPr>
      <w:r>
        <w:t xml:space="preserve">The entire financial case pivots on one number this paper does not</w:t>
      </w:r>
      <w:r>
        <w:t xml:space="preserve"> </w:t>
      </w:r>
      <w:r>
        <w:t xml:space="preserve">hold. The following table shows the outcome across plausible values.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MPLS per site/month</w:t>
            </w:r>
          </w:p>
        </w:tc>
        <w:tc>
          <w:tcPr/>
          <w:p>
            <w:pPr>
              <w:pStyle w:val="Compact"/>
            </w:pPr>
            <w:r>
              <w:t xml:space="preserve">Annual MPLS</w:t>
            </w:r>
          </w:p>
        </w:tc>
        <w:tc>
          <w:tcPr/>
          <w:p>
            <w:pPr>
              <w:pStyle w:val="Compact"/>
            </w:pPr>
            <w:r>
              <w:t xml:space="preserve">Net annual position</w:t>
            </w:r>
          </w:p>
        </w:tc>
        <w:tc>
          <w:tcPr/>
          <w:p>
            <w:pPr>
              <w:pStyle w:val="Compact"/>
            </w:pPr>
            <w:r>
              <w:t xml:space="preserve">Program character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$1,500</w:t>
            </w:r>
          </w:p>
        </w:tc>
        <w:tc>
          <w:tcPr/>
          <w:p>
            <w:pPr>
              <w:pStyle w:val="Compact"/>
            </w:pPr>
            <w:r>
              <w:t xml:space="preserve">$27.0M</w:t>
            </w:r>
          </w:p>
        </w:tc>
        <w:tc>
          <w:tcPr/>
          <w:p>
            <w:pPr>
              <w:pStyle w:val="Compact"/>
            </w:pPr>
            <w:r>
              <w:t xml:space="preserve">−$11.29M</w:t>
            </w:r>
          </w:p>
        </w:tc>
        <w:tc>
          <w:tcPr/>
          <w:p>
            <w:pPr>
              <w:pStyle w:val="Compact"/>
            </w:pPr>
            <w:r>
              <w:t xml:space="preserve">Strongly cash-positive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$1,200 (base case)</w:t>
            </w:r>
          </w:p>
        </w:tc>
        <w:tc>
          <w:tcPr/>
          <w:p>
            <w:pPr>
              <w:pStyle w:val="Compact"/>
            </w:pPr>
            <w:r>
              <w:t xml:space="preserve">$21.6M</w:t>
            </w:r>
          </w:p>
        </w:tc>
        <w:tc>
          <w:tcPr/>
          <w:p>
            <w:pPr>
              <w:pStyle w:val="Compact"/>
            </w:pPr>
            <w:r>
              <w:t xml:space="preserve">−$5.89M</w:t>
            </w:r>
          </w:p>
        </w:tc>
        <w:tc>
          <w:tcPr/>
          <w:p>
            <w:pPr>
              <w:pStyle w:val="Compact"/>
            </w:pPr>
            <w:r>
              <w:t xml:space="preserve">Cash-positive; self-funds in ~20 months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$873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$15.7M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Breakeven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$800</w:t>
            </w:r>
          </w:p>
        </w:tc>
        <w:tc>
          <w:tcPr/>
          <w:p>
            <w:pPr>
              <w:pStyle w:val="Compact"/>
            </w:pPr>
            <w:r>
              <w:t xml:space="preserve">$14.4M</w:t>
            </w:r>
          </w:p>
        </w:tc>
        <w:tc>
          <w:tcPr/>
          <w:p>
            <w:pPr>
              <w:pStyle w:val="Compact"/>
            </w:pPr>
            <w:r>
              <w:t xml:space="preserve">+$1.31M</w:t>
            </w:r>
          </w:p>
        </w:tc>
        <w:tc>
          <w:tcPr/>
          <w:p>
            <w:pPr>
              <w:pStyle w:val="Compact"/>
            </w:pPr>
            <w:r>
              <w:t xml:space="preserve">Modest net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$600</w:t>
            </w:r>
          </w:p>
        </w:tc>
        <w:tc>
          <w:tcPr/>
          <w:p>
            <w:pPr>
              <w:pStyle w:val="Compact"/>
            </w:pPr>
            <w:r>
              <w:t xml:space="preserve">$10.8M</w:t>
            </w:r>
          </w:p>
        </w:tc>
        <w:tc>
          <w:tcPr/>
          <w:p>
            <w:pPr>
              <w:pStyle w:val="Compact"/>
            </w:pPr>
            <w:r>
              <w:t xml:space="preserve">+$4.91M</w:t>
            </w:r>
          </w:p>
        </w:tc>
        <w:tc>
          <w:tcPr/>
          <w:p>
            <w:pPr>
              <w:pStyle w:val="Compact"/>
            </w:pPr>
            <w:r>
              <w:t xml:space="preserve">Net cost; justify on capability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$400</w:t>
            </w:r>
          </w:p>
        </w:tc>
        <w:tc>
          <w:tcPr/>
          <w:p>
            <w:pPr>
              <w:pStyle w:val="Compact"/>
            </w:pPr>
            <w:r>
              <w:t xml:space="preserve">$7.2M</w:t>
            </w:r>
          </w:p>
        </w:tc>
        <w:tc>
          <w:tcPr/>
          <w:p>
            <w:pPr>
              <w:pStyle w:val="Compact"/>
            </w:pPr>
            <w:r>
              <w:t xml:space="preserve">+$8.51M</w:t>
            </w:r>
          </w:p>
        </w:tc>
        <w:tc>
          <w:tcPr/>
          <w:p>
            <w:pPr>
              <w:pStyle w:val="Compact"/>
            </w:pPr>
            <w:r>
              <w:t xml:space="preserve">Net cost; the financial argument inverts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Breakeven threshold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program breaks even at $873 per site per month of current MPLS</w:t>
            </w:r>
            <w:r>
              <w:t xml:space="preserve"> </w:t>
            </w:r>
            <w:r>
              <w:t xml:space="preserve">spend.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Above that figure it funds itself and the recommendation is</w:t>
            </w:r>
            <w:r>
              <w:t xml:space="preserve"> </w:t>
            </w:r>
            <w:r>
              <w:t xml:space="preserve">unambiguous. Below it, the program remains architecturally correct and</w:t>
            </w:r>
            <w:r>
              <w:t xml:space="preserve"> </w:t>
            </w:r>
            <w:r>
              <w:t xml:space="preserve">remains cheaper than the $50M proposal, but must be justified on</w:t>
            </w:r>
            <w:r>
              <w:t xml:space="preserve"> </w:t>
            </w:r>
            <w:r>
              <w:t xml:space="preserve">capability and mission grounds rather than on cost avoidance. Either</w:t>
            </w:r>
            <w:r>
              <w:t xml:space="preserve"> </w:t>
            </w:r>
            <w:r>
              <w:t xml:space="preserve">way it is a materially better use of funds than the distribution point</w:t>
            </w:r>
            <w:r>
              <w:t xml:space="preserve"> </w:t>
            </w:r>
            <w:r>
              <w:t xml:space="preserve">refresh — but the argument that persuades a budget authority differs,</w:t>
            </w:r>
            <w:r>
              <w:t xml:space="preserve"> </w:t>
            </w:r>
            <w:r>
              <w:t xml:space="preserve">and the paper should be revised accordingly once the number is known.</w:t>
            </w:r>
          </w:p>
          <w:p/>
        </w:tc>
      </w:tr>
    </w:tbl>
    <w:bookmarkEnd w:id="85"/>
    <w:bookmarkEnd w:id="86"/>
    <w:bookmarkStart w:id="88" w:name="implementation-roadmap"/>
    <w:p>
      <w:pPr>
        <w:pStyle w:val="Heading2"/>
      </w:pPr>
      <w:r>
        <w:t xml:space="preserve">7. Implementation Roadmap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Timing</w:t>
            </w:r>
          </w:p>
        </w:tc>
        <w:tc>
          <w:tcPr/>
          <w:p>
            <w:pPr>
              <w:pStyle w:val="Compact"/>
            </w:pPr>
            <w:r>
              <w:t xml:space="preserve">Activities</w:t>
            </w:r>
          </w:p>
        </w:tc>
        <w:tc>
          <w:tcPr/>
          <w:p>
            <w:pPr>
              <w:pStyle w:val="Compact"/>
            </w:pPr>
            <w:r>
              <w:t xml:space="preserve">Exit criteria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Phase 0</w:t>
            </w:r>
          </w:p>
        </w:tc>
        <w:tc>
          <w:tcPr/>
          <w:p>
            <w:pPr>
              <w:pStyle w:val="Compact"/>
            </w:pPr>
            <w:r>
              <w:t xml:space="preserve">Months 0–6</w:t>
            </w:r>
          </w:p>
        </w:tc>
        <w:tc>
          <w:tcPr/>
          <w:p>
            <w:pPr>
              <w:pStyle w:val="Compact"/>
            </w:pPr>
            <w:r>
              <w:t xml:space="preserve">Architecture and detailed design; TIC 3.0 Branch Office use case package and accreditation; on-premises SD-WAN control plane build; ten-site pilot spanning all transport types and tiers</w:t>
            </w:r>
          </w:p>
        </w:tc>
        <w:tc>
          <w:tcPr/>
          <w:p>
            <w:pPr>
              <w:pStyle w:val="Compact"/>
            </w:pPr>
            <w:r>
              <w:t xml:space="preserve">Authority to operate for regional breakout; pilot sites stable for 30 days; validated per-site costs replacing the estimates in this paper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Phase 1</w:t>
            </w:r>
          </w:p>
        </w:tc>
        <w:tc>
          <w:tcPr/>
          <w:p>
            <w:pPr>
              <w:pStyle w:val="Compact"/>
            </w:pPr>
            <w:r>
              <w:t xml:space="preserve">Months 6–18</w:t>
            </w:r>
          </w:p>
        </w:tc>
        <w:tc>
          <w:tcPr/>
          <w:p>
            <w:pPr>
              <w:pStyle w:val="Compact"/>
            </w:pPr>
            <w:r>
              <w:t xml:space="preserve">Twelve hub sites: SD-WAN aggregation, regional internet breakout, SSE enforcement, 24 consolidated distribution points, content library migration and prestaging; CLAW onboarding coordination initiated with CISA (Section 4.9)</w:t>
            </w:r>
          </w:p>
        </w:tc>
        <w:tc>
          <w:tcPr/>
          <w:p>
            <w:pPr>
              <w:pStyle w:val="Compact"/>
            </w:pPr>
            <w:r>
              <w:t xml:space="preserve">All hubs in production; content served from hub tier; legacy field office DPs in read-only fallback; CLAW telemetry integration confirmed in the pilot sites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Phase 2</w:t>
            </w:r>
          </w:p>
        </w:tc>
        <w:tc>
          <w:tcPr/>
          <w:p>
            <w:pPr>
              <w:pStyle w:val="Compact"/>
            </w:pPr>
            <w:r>
              <w:t xml:space="preserve">Months 18–48</w:t>
            </w:r>
          </w:p>
        </w:tc>
        <w:tc>
          <w:tcPr/>
          <w:p>
            <w:pPr>
              <w:pStyle w:val="Compact"/>
            </w:pPr>
            <w:r>
              <w:t xml:space="preserve">Branch migration in waves keyed to MPLS contract renewal dates: DIA and 5G installation, SD-WAN overlay, cutover, MPLS circuit termination</w:t>
            </w:r>
          </w:p>
        </w:tc>
        <w:tc>
          <w:tcPr/>
          <w:p>
            <w:pPr>
              <w:pStyle w:val="Compact"/>
            </w:pPr>
            <w:r>
              <w:t xml:space="preserve">100% of branches on local transport; MPLS decommissioned</w:t>
            </w:r>
            <w:r>
              <w:t xml:space="preserve"> </w:t>
            </w:r>
            <w:r>
              <w:rPr>
                <w:b/>
                <w:bCs/>
              </w:rPr>
              <w:t xml:space="preserve">only after CLAW telemetry parity is confirmed per branch</w:t>
            </w:r>
            <w:r>
              <w:t xml:space="preserve"> </w:t>
            </w:r>
            <w:r>
              <w:t xml:space="preserve">(Section 4.9); field office DPs retired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Phase 3</w:t>
            </w:r>
          </w:p>
        </w:tc>
        <w:tc>
          <w:tcPr/>
          <w:p>
            <w:pPr>
              <w:pStyle w:val="Compact"/>
            </w:pPr>
            <w:r>
              <w:t xml:space="preserve">Months 36+</w:t>
            </w:r>
          </w:p>
        </w:tc>
        <w:tc>
          <w:tcPr/>
          <w:p>
            <w:pPr>
              <w:pStyle w:val="Compact"/>
            </w:pPr>
            <w:r>
              <w:t xml:space="preserve">Direct-breakout M365 optimization in production (DSCP-marked, application-aware routing per Section 4.6 — not INR); deploy Microsoft Connected Cache at hub sites as Intune workloads shift; retire distribution points as the Section 4.7 gates close, not on a fixed date</w:t>
            </w:r>
          </w:p>
        </w:tc>
        <w:tc>
          <w:tcPr/>
          <w:p>
            <w:pPr>
              <w:pStyle w:val="Compact"/>
            </w:pPr>
            <w:r>
              <w:t xml:space="preserve">M365 path optimization in production within GCC’s available mechanisms; MCC serving cloud-managed content; each Section 4.7 gate tracked and closed explicitly, with distribution points retired as they close</w:t>
            </w:r>
          </w:p>
        </w:tc>
      </w:tr>
    </w:tbl>
    <w:bookmarkStart w:id="87" w:name="sequencing-rationale"/>
    <w:p>
      <w:pPr>
        <w:pStyle w:val="Heading3"/>
      </w:pPr>
      <w:r>
        <w:t xml:space="preserve">7.1 Sequencing rationale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Accreditation, not procurement, is the critical path.</w:t>
      </w:r>
      <w:r>
        <w:t xml:space="preserve"> </w:t>
      </w:r>
      <w:r>
        <w:t xml:space="preserve">Circuits can</w:t>
      </w:r>
      <w:r>
        <w:t xml:space="preserve"> </w:t>
      </w:r>
      <w:r>
        <w:t xml:space="preserve">be ordered in ninety days. A TIC 3.0 Branch Office authorization</w:t>
      </w:r>
      <w:r>
        <w:t xml:space="preserve"> </w:t>
      </w:r>
      <w:r>
        <w:t xml:space="preserve">cannot. Phase 0 exists to remove that constraint before capital is</w:t>
      </w:r>
      <w:r>
        <w:t xml:space="preserve"> </w:t>
      </w:r>
      <w:r>
        <w:t xml:space="preserve">committed at scale.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Hubs first, because they close three problems at once.</w:t>
      </w:r>
      <w:r>
        <w:t xml:space="preserve"> </w:t>
      </w:r>
      <w:r>
        <w:t xml:space="preserve">Phase 1</w:t>
      </w:r>
      <w:r>
        <w:t xml:space="preserve"> </w:t>
      </w:r>
      <w:r>
        <w:t xml:space="preserve">delivers network aggregation, regional breakout, and the consolidated</w:t>
      </w:r>
      <w:r>
        <w:t xml:space="preserve"> </w:t>
      </w:r>
      <w:r>
        <w:t xml:space="preserve">content tier in a single capital event at a single set of facilities</w:t>
      </w:r>
      <w:r>
        <w:t xml:space="preserve"> </w:t>
      </w:r>
      <w:r>
        <w:t xml:space="preserve">under a single accreditation boundary.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Branch waves follow contract expiry, not geography.</w:t>
      </w:r>
      <w:r>
        <w:t xml:space="preserve"> </w:t>
      </w:r>
      <w:r>
        <w:t xml:space="preserve">Migrating at</w:t>
      </w:r>
      <w:r>
        <w:t xml:space="preserve"> </w:t>
      </w:r>
      <w:r>
        <w:t xml:space="preserve">MPLS renewal avoids early termination liability and lets each wave</w:t>
      </w:r>
      <w:r>
        <w:t xml:space="preserve"> </w:t>
      </w:r>
      <w:r>
        <w:t xml:space="preserve">fund the next.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Cloud dependencies are deferred to Phase 3, and INR is removed from</w:t>
      </w:r>
      <w:r>
        <w:rPr>
          <w:b/>
          <w:bCs/>
        </w:rPr>
        <w:t xml:space="preserve"> </w:t>
      </w:r>
      <w:r>
        <w:rPr>
          <w:b/>
          <w:bCs/>
        </w:rPr>
        <w:t xml:space="preserve">scope entirely.</w:t>
      </w:r>
      <w:r>
        <w:t xml:space="preserve"> </w:t>
      </w:r>
      <w:r>
        <w:t xml:space="preserve">Nothing in Phases 0 through 2 depends on Connected</w:t>
      </w:r>
      <w:r>
        <w:t xml:space="preserve"> </w:t>
      </w:r>
      <w:r>
        <w:t xml:space="preserve">Cache or co-management maturity, and — per Section 4.6 — Phase 3 does</w:t>
      </w:r>
      <w:r>
        <w:t xml:space="preserve"> </w:t>
      </w:r>
      <w:r>
        <w:t xml:space="preserve">not depend on INR either, since GCC tenancy excludes it. If Connected</w:t>
      </w:r>
      <w:r>
        <w:t xml:space="preserve"> </w:t>
      </w:r>
      <w:r>
        <w:t xml:space="preserve">Cache slips or fails accreditation, the program still delivers.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The all-in cutover is gated, not scheduled.</w:t>
      </w:r>
      <w:r>
        <w:t xml:space="preserve"> </w:t>
      </w:r>
      <w:r>
        <w:t xml:space="preserve">“Months 36+”</w:t>
      </w:r>
      <w:r>
        <w:t xml:space="preserve"> </w:t>
      </w:r>
      <w:r>
        <w:t xml:space="preserve">in the</w:t>
      </w:r>
      <w:r>
        <w:t xml:space="preserve"> </w:t>
      </w:r>
      <w:r>
        <w:t xml:space="preserve">Phase 3 row above is a placeholder, not a commitment. Section 4.7</w:t>
      </w:r>
      <w:r>
        <w:t xml:space="preserve"> </w:t>
      </w:r>
      <w:r>
        <w:t xml:space="preserve">states the five conditions — app content, update content, OS</w:t>
      </w:r>
      <w:r>
        <w:t xml:space="preserve"> </w:t>
      </w:r>
      <w:r>
        <w:t xml:space="preserve">provisioning, caching role, and compliance evidence — that actually</w:t>
      </w:r>
      <w:r>
        <w:t xml:space="preserve"> </w:t>
      </w:r>
      <w:r>
        <w:t xml:space="preserve">determine when the last distribution point can be retired; track</w:t>
      </w:r>
      <w:r>
        <w:t xml:space="preserve"> </w:t>
      </w:r>
      <w:r>
        <w:t xml:space="preserve">those, not the month number.</w:t>
      </w:r>
    </w:p>
    <w:bookmarkEnd w:id="87"/>
    <w:bookmarkEnd w:id="88"/>
    <w:bookmarkStart w:id="89" w:name="risks-and-mitigations"/>
    <w:p>
      <w:pPr>
        <w:pStyle w:val="Heading2"/>
      </w:pPr>
      <w:r>
        <w:t xml:space="preserve">8. Risks and Mitigations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Rating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TIC 3.0 branch breakout accreditation slips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Phase 0 begins with the accreditation package, not the design. Fall back to hub-only breakout, which is a defensible end state on its own and still eliminates the per-office DP requirement. A twelve-month slip pushes the year-4 breakeven in Section 6.2 to approximately year five; it does not change the five-year delta versus the $50M refresh, since Phase 2 migration waves are keyed to MPLS contract renewal dates rather than a fixed calendar.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Current MPLS cost is lower than assumed, inverting the financial case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Validate before submission. If below breakeven, re-present the program on capability grounds; it remains cheaper than $50M regardless.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Crypto throughput licensed below circuit speed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Specify throughput tier explicitly per platform in the bill of materials; validate under load during the Phase 0 pilot.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Workstation-to-workstation SMB prohibited by segmentation policy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Peer Cache is an optimization, not a dependency. If prohibited, branch content pulls directly from the hub tier over the new circuits, which are sized for 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Twelve hubs introduce new concentration risk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HA pairs at every hub, diverse transport, and a defined branch fallback to a secondary hub in the SD-WAN policy.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Terrestrial transport unavailable at some sites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Serviceability survey in Phase 0. Historic rates suggest 5–15%; satellite or bonded cellular is appropriate for that subset only.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Selected SSE vendor lacks FedRAMP Moderate authorization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Confirm in Phase 0. Multiple SSE vendors hold FedRAMP Moderate authorization; the SD-WAN design is unaffected by the choice.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Connected Cache unavailable or unsupported for GCC tenants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Confirm with the Microsoft account team. Nothing in Phases 0–2 depends on it; it affects only Phase 3 optimization.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EIS task order modification across 1,500 sites delays transport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Engage acquisition in Phase 0. Sequence Phase 2 waves to contract renewal dates already in the pipeline.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CLAW onboarding lags branch cutover, leaving a telemetry gap when MTIPS is decommissioned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Initiate the three-way CLAW coordination (agency, CISA, SASE/SD-WAN vendor) in Phase 0 alongside the accreditation package, not at Phase 2 cutover (Section 4.9). Gate each branch’s MPLS decommission on confirmed CLAW telemetry parity for that site rather than on cutover completion alone.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5G coverage inadequate at interior building locations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Per-site survey; outdoor-mount cellular gateway where interior signal is insufficient.</w:t>
            </w:r>
          </w:p>
        </w:tc>
      </w:tr>
    </w:tbl>
    <w:bookmarkEnd w:id="89"/>
    <w:bookmarkStart w:id="92" w:name="assumptions-requiring-validation"/>
    <w:p>
      <w:pPr>
        <w:pStyle w:val="Heading2"/>
      </w:pPr>
      <w:r>
        <w:t xml:space="preserve">9. Assumptions Requiring Validation</w:t>
      </w:r>
    </w:p>
    <w:p>
      <w:pPr>
        <w:pStyle w:val="FirstParagraph"/>
      </w:pPr>
      <w:r>
        <w:t xml:space="preserve">This paper is built on estimates. The following must be replaced with</w:t>
      </w:r>
      <w:r>
        <w:t xml:space="preserve"> </w:t>
      </w:r>
      <w:r>
        <w:t xml:space="preserve">agency data before any figure is used in a budget submission. They are</w:t>
      </w:r>
      <w:r>
        <w:t xml:space="preserve"> </w:t>
      </w:r>
      <w:r>
        <w:t xml:space="preserve">ordered by impact on the conclusion.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Assumption</w:t>
            </w:r>
          </w:p>
        </w:tc>
        <w:tc>
          <w:tcPr/>
          <w:p>
            <w:pPr>
              <w:pStyle w:val="Compact"/>
            </w:pPr>
            <w:r>
              <w:t xml:space="preserve">Value used</w:t>
            </w:r>
          </w:p>
        </w:tc>
        <w:tc>
          <w:tcPr/>
          <w:p>
            <w:pPr>
              <w:pStyle w:val="Compact"/>
            </w:pPr>
            <w:r>
              <w:t xml:space="preserve">How to validate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Current MPLS cost per site per month</w:t>
            </w:r>
          </w:p>
        </w:tc>
        <w:tc>
          <w:tcPr/>
          <w:p>
            <w:pPr>
              <w:pStyle w:val="Compact"/>
            </w:pPr>
            <w:r>
              <w:t xml:space="preserve">$1,200</w:t>
            </w:r>
          </w:p>
        </w:tc>
        <w:tc>
          <w:tcPr/>
          <w:p>
            <w:pPr>
              <w:pStyle w:val="Compact"/>
            </w:pPr>
            <w:r>
              <w:t xml:space="preserve">Telecom contract records; determines whether the program is cash-positive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Managed endpoint population</w:t>
            </w:r>
          </w:p>
        </w:tc>
        <w:tc>
          <w:tcPr/>
          <w:p>
            <w:pPr>
              <w:pStyle w:val="Compact"/>
            </w:pPr>
            <w:r>
              <w:t xml:space="preserve">70,000</w:t>
            </w:r>
          </w:p>
        </w:tc>
        <w:tc>
          <w:tcPr/>
          <w:p>
            <w:pPr>
              <w:pStyle w:val="Compact"/>
            </w:pPr>
            <w:r>
              <w:t xml:space="preserve">Configuration Manager device count; drives distribution point count directly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Content library size</w:t>
            </w:r>
          </w:p>
        </w:tc>
        <w:tc>
          <w:tcPr/>
          <w:p>
            <w:pPr>
              <w:pStyle w:val="Compact"/>
            </w:pPr>
            <w:r>
              <w:t xml:space="preserve">1.5 TB</w:t>
            </w:r>
          </w:p>
        </w:tc>
        <w:tc>
          <w:tcPr/>
          <w:p>
            <w:pPr>
              <w:pStyle w:val="Compact"/>
            </w:pPr>
            <w:r>
              <w:t xml:space="preserve">Measure SCCMContentLib on an existing distribution point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Seat distribution across 1,500 offices</w:t>
            </w:r>
          </w:p>
        </w:tc>
        <w:tc>
          <w:tcPr/>
          <w:p>
            <w:pPr>
              <w:pStyle w:val="Compact"/>
            </w:pPr>
            <w:r>
              <w:t xml:space="preserve">750 / 525 / 225</w:t>
            </w:r>
          </w:p>
        </w:tc>
        <w:tc>
          <w:tcPr/>
          <w:p>
            <w:pPr>
              <w:pStyle w:val="Compact"/>
            </w:pPr>
            <w:r>
              <w:t xml:space="preserve">Facilities and HR headcount by location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Terrestrial transport availability</w:t>
            </w:r>
          </w:p>
        </w:tc>
        <w:tc>
          <w:tcPr/>
          <w:p>
            <w:pPr>
              <w:pStyle w:val="Compact"/>
            </w:pPr>
            <w:r>
              <w:t xml:space="preserve">85–95% of sites</w:t>
            </w:r>
          </w:p>
        </w:tc>
        <w:tc>
          <w:tcPr/>
          <w:p>
            <w:pPr>
              <w:pStyle w:val="Compact"/>
            </w:pPr>
            <w:r>
              <w:t xml:space="preserve">Serviceability survey against site addresses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Current TIC 3.0 posture</w:t>
            </w:r>
          </w:p>
        </w:tc>
        <w:tc>
          <w:tcPr/>
          <w:p>
            <w:pPr>
              <w:pStyle w:val="Compact"/>
            </w:pPr>
            <w:r>
              <w:t xml:space="preserve">Not yet authorized for branch breakout</w:t>
            </w:r>
          </w:p>
        </w:tc>
        <w:tc>
          <w:tcPr/>
          <w:p>
            <w:pPr>
              <w:pStyle w:val="Compact"/>
            </w:pPr>
            <w:r>
              <w:t xml:space="preserve">Confirm with the security architecture organization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Co-management maturity</w:t>
            </w:r>
          </w:p>
        </w:tc>
        <w:tc>
          <w:tcPr/>
          <w:p>
            <w:pPr>
              <w:pStyle w:val="Compact"/>
            </w:pPr>
            <w:r>
              <w:t xml:space="preserve">Early</w:t>
            </w:r>
          </w:p>
        </w:tc>
        <w:tc>
          <w:tcPr/>
          <w:p>
            <w:pPr>
              <w:pStyle w:val="Compact"/>
            </w:pPr>
            <w:r>
              <w:t xml:space="preserve">Track against the five gates in Section 4.7 (app content, update content, OS provisioning, caching role, compliance evidence) rather than estimating a calendar date; also paces the the program decision consolidation framing in Section 2.2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Field office OS deployment requirement</w:t>
            </w:r>
          </w:p>
        </w:tc>
        <w:tc>
          <w:tcPr/>
          <w:p>
            <w:pPr>
              <w:pStyle w:val="Compact"/>
            </w:pPr>
            <w:r>
              <w:t xml:space="preserve">Assumed centralized or vendor-staged</w:t>
            </w:r>
          </w:p>
        </w:tc>
        <w:tc>
          <w:tcPr/>
          <w:p>
            <w:pPr>
              <w:pStyle w:val="Compact"/>
            </w:pPr>
            <w:r>
              <w:t xml:space="preserve">If offices re-image locally, revisit PXE and local content requirements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Workstation-to-workstation SMB permitted</w:t>
            </w:r>
          </w:p>
        </w:tc>
        <w:tc>
          <w:tcPr/>
          <w:p>
            <w:pPr>
              <w:pStyle w:val="Compact"/>
            </w:pPr>
            <w:r>
              <w:t xml:space="preserve">Assumed prohibited</w:t>
            </w:r>
          </w:p>
        </w:tc>
        <w:tc>
          <w:tcPr/>
          <w:p>
            <w:pPr>
              <w:pStyle w:val="Compact"/>
            </w:pPr>
            <w:r>
              <w:t xml:space="preserve">Network security policy; affects Peer Cache availability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CLAW onboarding status and lead time</w:t>
            </w:r>
          </w:p>
        </w:tc>
        <w:tc>
          <w:tcPr/>
          <w:p>
            <w:pPr>
              <w:pStyle w:val="Compact"/>
            </w:pPr>
            <w:r>
              <w:t xml:space="preserve">Not yet initiated</w:t>
            </w:r>
          </w:p>
        </w:tc>
        <w:tc>
          <w:tcPr/>
          <w:p>
            <w:pPr>
              <w:pStyle w:val="Compact"/>
            </w:pPr>
            <w:r>
              <w:t xml:space="preserve">Confirm with the CISA Services Program (Section 4.9); determines whether Phase 0/1 timing needs to absorb three-way coordination lead time before any branch MPLS circuit can be decommissioned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statement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architectural conclusion — that the content tier requires roughly</w:t>
            </w:r>
            <w:r>
              <w:t xml:space="preserve"> </w:t>
            </w:r>
            <w:r>
              <w:t xml:space="preserve">24 distribution points across 12 hub sites rather than 1,500 — is</w:t>
            </w:r>
            <w:r>
              <w:t xml:space="preserve"> </w:t>
            </w:r>
            <w:r>
              <w:t xml:space="preserve">derived from Microsoft published capacity limits and is robust across</w:t>
            </w:r>
            <w:r>
              <w:t xml:space="preserve"> </w:t>
            </w:r>
            <w:r>
              <w:t xml:space="preserve">the plausible range of assumptions 2 through 9.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financial conclusion is not robust. It depends materially on</w:t>
            </w:r>
            <w:r>
              <w:t xml:space="preserve"> </w:t>
            </w:r>
            <w:r>
              <w:t xml:space="preserve">assumption 1. This paper should not be presented as a cost argument</w:t>
            </w:r>
            <w:r>
              <w:t xml:space="preserve"> </w:t>
            </w:r>
            <w:r>
              <w:t xml:space="preserve">until that number is confirmed.</w:t>
            </w:r>
          </w:p>
          <w:p/>
        </w:tc>
      </w:tr>
    </w:tbl>
    <w:bookmarkEnd w:id="92"/>
    <w:bookmarkStart w:id="96" w:name="recommendation-1"/>
    <w:p>
      <w:pPr>
        <w:pStyle w:val="Heading2"/>
      </w:pPr>
      <w:r>
        <w:t xml:space="preserve">10. Recommendation</w:t>
      </w:r>
    </w:p>
    <w:p>
      <w:pPr>
        <w:pStyle w:val="FirstParagraph"/>
      </w:pPr>
      <w:r>
        <w:t xml:space="preserve">The proposed $50,000,000 distribution point refresh solves content</w:t>
      </w:r>
      <w:r>
        <w:t xml:space="preserve"> </w:t>
      </w:r>
      <w:r>
        <w:t xml:space="preserve">delivery over constrained wide-area links at approximately 1,500 field</w:t>
      </w:r>
      <w:r>
        <w:t xml:space="preserve"> </w:t>
      </w:r>
      <w:r>
        <w:t xml:space="preserve">offices. It does so by distributing infrastructure rather than</w:t>
      </w:r>
      <w:r>
        <w:t xml:space="preserve"> </w:t>
      </w:r>
      <w:r>
        <w:t xml:space="preserve">correcting the underlying transport constraint, and it does so at a</w:t>
      </w:r>
      <w:r>
        <w:t xml:space="preserve"> </w:t>
      </w:r>
      <w:r>
        <w:t xml:space="preserve">moment when the agency has already committed to a management platform</w:t>
      </w:r>
      <w:r>
        <w:t xml:space="preserve"> </w:t>
      </w:r>
      <w:r>
        <w:t xml:space="preserve">that reduces the requirement.</w:t>
      </w:r>
    </w:p>
    <w:p>
      <w:pPr>
        <w:pStyle w:val="BodyText"/>
      </w:pPr>
      <w:r>
        <w:t xml:space="preserve">A network modernization program addressing the same problem requires</w:t>
      </w:r>
      <w:r>
        <w:t xml:space="preserve"> </w:t>
      </w:r>
      <w:r>
        <w:t xml:space="preserve">approximately $10.0M in first-year capital, reaches a positive</w:t>
      </w:r>
      <w:r>
        <w:t xml:space="preserve"> </w:t>
      </w:r>
      <w:r>
        <w:t xml:space="preserve">cumulative cash position in year four under base-case assumptions, and</w:t>
      </w:r>
      <w:r>
        <w:t xml:space="preserve"> </w:t>
      </w:r>
      <w:r>
        <w:t xml:space="preserve">delivers benefits across every cloud workload rather than one. It is</w:t>
      </w:r>
      <w:r>
        <w:t xml:space="preserve"> </w:t>
      </w:r>
      <w:r>
        <w:t xml:space="preserve">additionally a prerequisite for the Microsoft Intune migration already</w:t>
      </w:r>
      <w:r>
        <w:t xml:space="preserve"> </w:t>
      </w:r>
      <w:r>
        <w:t xml:space="preserve">underway, which means it is not a competing investment but an enabling</w:t>
      </w:r>
      <w:r>
        <w:t xml:space="preserve"> </w:t>
      </w:r>
      <w:r>
        <w:t xml:space="preserve">one.</w:t>
      </w:r>
    </w:p>
    <w:bookmarkStart w:id="95" w:name="recommended-actions"/>
    <w:p>
      <w:pPr>
        <w:pStyle w:val="Heading3"/>
      </w:pPr>
      <w:r>
        <w:t xml:space="preserve">Recommended actions</w:t>
      </w:r>
    </w:p>
    <w:p>
      <w:pPr>
        <w:pStyle w:val="Compact"/>
        <w:numPr>
          <w:ilvl w:val="0"/>
          <w:numId w:val="1011"/>
        </w:numPr>
      </w:pPr>
      <w:r>
        <w:t xml:space="preserve">Defer the $50M distribution point refresh pending completion of a</w:t>
      </w:r>
      <w:r>
        <w:t xml:space="preserve"> </w:t>
      </w:r>
      <w:r>
        <w:t xml:space="preserve">network modernization assessment.</w:t>
      </w:r>
    </w:p>
    <w:p>
      <w:pPr>
        <w:pStyle w:val="Compact"/>
        <w:numPr>
          <w:ilvl w:val="0"/>
          <w:numId w:val="1011"/>
        </w:numPr>
      </w:pPr>
      <w:r>
        <w:t xml:space="preserve">Direct the sponsoring organization to state whether the $50M figure</w:t>
      </w:r>
      <w:r>
        <w:t xml:space="preserve"> </w:t>
      </w:r>
      <w:r>
        <w:t xml:space="preserve">is acquisition cost or five-year total cost of ownership, and to</w:t>
      </w:r>
      <w:r>
        <w:t xml:space="preserve"> </w:t>
      </w:r>
      <w:r>
        <w:t xml:space="preserve">itemize any scope beyond the distribution point role.</w:t>
      </w:r>
    </w:p>
    <w:p>
      <w:pPr>
        <w:pStyle w:val="Compact"/>
        <w:numPr>
          <w:ilvl w:val="0"/>
          <w:numId w:val="1011"/>
        </w:numPr>
      </w:pPr>
      <w:r>
        <w:t xml:space="preserve">Validate the nine assumptions in Section 9, beginning with current</w:t>
      </w:r>
      <w:r>
        <w:t xml:space="preserve"> </w:t>
      </w:r>
      <w:r>
        <w:t xml:space="preserve">MPLS cost per site and managed endpoint population.</w:t>
      </w:r>
    </w:p>
    <w:p>
      <w:pPr>
        <w:pStyle w:val="Compact"/>
        <w:numPr>
          <w:ilvl w:val="0"/>
          <w:numId w:val="1011"/>
        </w:numPr>
      </w:pPr>
      <w:r>
        <w:t xml:space="preserve">Fund Phase 0 — architecture, TIC 3.0 accreditation package, control</w:t>
      </w:r>
      <w:r>
        <w:t xml:space="preserve"> </w:t>
      </w:r>
      <w:r>
        <w:t xml:space="preserve">plane build, and a ten-site pilot — at approximately $1.8M over six</w:t>
      </w:r>
      <w:r>
        <w:t xml:space="preserve"> </w:t>
      </w:r>
      <w:r>
        <w:t xml:space="preserve">months.</w:t>
      </w:r>
    </w:p>
    <w:p>
      <w:pPr>
        <w:pStyle w:val="Compact"/>
        <w:numPr>
          <w:ilvl w:val="0"/>
          <w:numId w:val="1011"/>
        </w:numPr>
      </w:pPr>
      <w:r>
        <w:t xml:space="preserve">Confirm the planned distribution point count at completion of the</w:t>
      </w:r>
      <w:r>
        <w:t xml:space="preserve"> </w:t>
      </w:r>
      <w:r>
        <w:t xml:space="preserve">co-management program, and the fiscal year in which it is reached.</w:t>
      </w:r>
      <w:r>
        <w:t xml:space="preserve"> </w:t>
      </w:r>
      <w:r>
        <w:t xml:space="preserve">No refresh can be correctly sized without it.</w:t>
      </w:r>
    </w:p>
    <w:p>
      <w:pPr>
        <w:pStyle w:val="Compact"/>
        <w:numPr>
          <w:ilvl w:val="0"/>
          <w:numId w:val="1011"/>
        </w:numPr>
      </w:pPr>
      <w:r>
        <w:t xml:space="preserve">Establish a single program governing network modernization and</w:t>
      </w:r>
      <w:r>
        <w:t xml:space="preserve"> </w:t>
      </w:r>
      <w:r>
        <w:t xml:space="preserve">content tier consolidation, given that both resolve at the same</w:t>
      </w:r>
      <w:r>
        <w:t xml:space="preserve"> </w:t>
      </w:r>
      <w:r>
        <w:t xml:space="preserve">twelve facilities.</w:t>
      </w:r>
    </w:p>
    <w:p>
      <w:pPr>
        <w:pStyle w:val="Compact"/>
        <w:numPr>
          <w:ilvl w:val="0"/>
          <w:numId w:val="1011"/>
        </w:numPr>
      </w:pPr>
      <w:r>
        <w:t xml:space="preserve">Track the five gates in Section 4.7 — app content, update content,</w:t>
      </w:r>
      <w:r>
        <w:t xml:space="preserve"> </w:t>
      </w:r>
      <w:r>
        <w:t xml:space="preserve">OS provisioning, caching role, and compliance evidence — as the</w:t>
      </w:r>
      <w:r>
        <w:t xml:space="preserve"> </w:t>
      </w:r>
      <w:r>
        <w:t xml:space="preserve">explicit criterion for retiring the last distribution point, rather</w:t>
      </w:r>
      <w:r>
        <w:t xml:space="preserve"> </w:t>
      </w:r>
      <w:r>
        <w:t xml:space="preserve">than defaulting to the Phase 3 calendar placeholder in Section 7.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Position statement for briefing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$50M distribution point refresh solves content delivery over</w:t>
            </w:r>
            <w:r>
              <w:t xml:space="preserve"> </w:t>
            </w:r>
            <w:r>
              <w:t xml:space="preserve">constrained field office links. An SD-WAN and regional breakout program</w:t>
            </w:r>
            <w:r>
              <w:t xml:space="preserve"> </w:t>
            </w:r>
            <w:r>
              <w:t xml:space="preserve">solves the same problem for roughly $10M in capital, is expected to be</w:t>
            </w:r>
            <w:r>
              <w:t xml:space="preserve"> </w:t>
            </w:r>
            <w:r>
              <w:t xml:space="preserve">cash-positive by year four, is a prerequisite for the Intune migration</w:t>
            </w:r>
            <w:r>
              <w:t xml:space="preserve"> </w:t>
            </w:r>
            <w:r>
              <w:t xml:space="preserve">already underway, and delivers benefits to every other cloud workload.</w:t>
            </w:r>
            <w:r>
              <w:t xml:space="preserve"> </w:t>
            </w:r>
            <w:r>
              <w:t xml:space="preserve">Recommend deferring the distribution point refresh pending a network</w:t>
            </w:r>
            <w:r>
              <w:t xml:space="preserve"> </w:t>
            </w:r>
            <w:r>
              <w:t xml:space="preserve">modernization assessment.</w:t>
            </w:r>
          </w:p>
          <w:p/>
        </w:tc>
      </w:tr>
    </w:tbl>
    <w:bookmarkEnd w:id="95"/>
    <w:bookmarkEnd w:id="96"/>
    <w:bookmarkStart w:id="103" w:name="X3548840217943de7e650050aed679d10d1e22fc"/>
    <w:p>
      <w:pPr>
        <w:pStyle w:val="Heading2"/>
      </w:pPr>
      <w:r>
        <w:t xml:space="preserve">Appendix A — Compliance and Reporting Detail</w:t>
      </w:r>
    </w:p>
    <w:p>
      <w:pPr>
        <w:pStyle w:val="FirstParagraph"/>
      </w:pPr>
      <w:r>
        <w:t xml:space="preserve">This appendix holds the control-by-control compliance detail referenced</w:t>
      </w:r>
      <w:r>
        <w:t xml:space="preserve"> </w:t>
      </w:r>
      <w:r>
        <w:t xml:space="preserve">from Sections 3.4 and 4.8. It is written for a security architecture or</w:t>
      </w:r>
      <w:r>
        <w:t xml:space="preserve"> </w:t>
      </w:r>
      <w:r>
        <w:t xml:space="preserve">ISSO audience; a reader focused on the budget and capacity case can</w:t>
      </w:r>
      <w:r>
        <w:t xml:space="preserve"> </w:t>
      </w:r>
      <w:r>
        <w:t xml:space="preserve">treat Sections 3.4 and 4.8’s summary findings as sufficient and skip</w:t>
      </w:r>
      <w:r>
        <w:t xml:space="preserve"> </w:t>
      </w:r>
      <w:r>
        <w:t xml:space="preserve">this appendix entirely.</w:t>
      </w:r>
    </w:p>
    <w:bookmarkStart w:id="98" w:name="X63e5a40b1274a416c9abb6c4f671b7d3c228d49"/>
    <w:p>
      <w:pPr>
        <w:pStyle w:val="Heading3"/>
      </w:pPr>
      <w:r>
        <w:t xml:space="preserve">A.1 Distribution points vs. Intune — a compliance comparison</w:t>
      </w:r>
    </w:p>
    <w:p>
      <w:pPr>
        <w:pStyle w:val="FirstParagraph"/>
      </w:pPr>
      <w:r>
        <w:t xml:space="preserve">Sections 3.1–3.3 make the economic and capacity case against the</w:t>
      </w:r>
      <w:r>
        <w:t xml:space="preserve"> </w:t>
      </w:r>
      <w:r>
        <w:t xml:space="preserve">per-office distribution point model. This section asks a different</w:t>
      </w:r>
      <w:r>
        <w:t xml:space="preserve"> </w:t>
      </w:r>
      <w:r>
        <w:t xml:space="preserve">question: independent of cost, how does a distribution point compare</w:t>
      </w:r>
      <w:r>
        <w:t xml:space="preserve"> </w:t>
      </w:r>
      <w:r>
        <w:t xml:space="preserve">to Intune on compliance grounds, and what does keeping any distribution</w:t>
      </w:r>
      <w:r>
        <w:t xml:space="preserve"> </w:t>
      </w:r>
      <w:r>
        <w:t xml:space="preserve">point tier alive cost in ongoing compliance work — on top of, not</w:t>
      </w:r>
      <w:r>
        <w:t xml:space="preserve"> </w:t>
      </w:r>
      <w:r>
        <w:t xml:space="preserve">instead of, whatever compliance program already covers the Intune-</w:t>
      </w:r>
      <w:r>
        <w:t xml:space="preserve"> </w:t>
      </w:r>
      <w:r>
        <w:t xml:space="preserve">managed endpoint fleet?</w:t>
      </w:r>
    </w:p>
    <w:p>
      <w:pPr>
        <w:pStyle w:val="BodyText"/>
      </w:pPr>
      <w:r>
        <w:t xml:space="preserve">The two sit in structurally different compliance postures, not just</w:t>
      </w:r>
      <w:r>
        <w:t xml:space="preserve"> </w:t>
      </w:r>
      <w:r>
        <w:t xml:space="preserve">different maturity levels of the same one: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Configuration Manager distribution point</w:t>
            </w:r>
          </w:p>
        </w:tc>
        <w:tc>
          <w:tcPr/>
          <w:p>
            <w:pPr>
              <w:pStyle w:val="Compact"/>
            </w:pPr>
            <w:r>
              <w:t xml:space="preserve">Intune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Compliance boundary</w:t>
            </w:r>
          </w:p>
        </w:tc>
        <w:tc>
          <w:tcPr/>
          <w:p>
            <w:pPr>
              <w:pStyle w:val="Compact"/>
            </w:pPr>
            <w:r>
              <w:t xml:space="preserve">On-premises Windows Server + IIS site system role; the agency owns the entire customer-side stack</w:t>
            </w:r>
          </w:p>
        </w:tc>
        <w:tc>
          <w:tcPr/>
          <w:p>
            <w:pPr>
              <w:pStyle w:val="Compact"/>
            </w:pPr>
            <w:r>
              <w:t xml:space="preserve">SaaS; the underlying service is covered by the Microsoft 365 GCC Moderate FedRAMP ATO, inherited by the agency through the standard FedRAMP customer responsibility matrix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Hardening baseline</w:t>
            </w:r>
          </w:p>
        </w:tc>
        <w:tc>
          <w:tcPr/>
          <w:p>
            <w:pPr>
              <w:pStyle w:val="Compact"/>
            </w:pPr>
            <w:r>
              <w:t xml:space="preserve">DISA Windows Server STIG and IIS STIG apply and must be scanned independently, per server</w:t>
            </w:r>
          </w:p>
        </w:tc>
        <w:tc>
          <w:tcPr/>
          <w:p>
            <w:pPr>
              <w:pStyle w:val="Compact"/>
            </w:pPr>
            <w:r>
              <w:t xml:space="preserve">Agency responsibility is limited to configuration (compliance policies, configuration profiles); the underlying service’s own hardening is Microsoft’s inherited CSP responsibility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Vulnerability management (RA-5, SI-2)</w:t>
            </w:r>
          </w:p>
        </w:tc>
        <w:tc>
          <w:tcPr/>
          <w:p>
            <w:pPr>
              <w:pStyle w:val="Compact"/>
            </w:pPr>
            <w:r>
              <w:t xml:space="preserve">The agency runs vulnerability scanning and patch management against every distribution point’s OS and IIS stack, indefinitely, for as many distribution points as exist</w:t>
            </w:r>
          </w:p>
        </w:tc>
        <w:tc>
          <w:tcPr/>
          <w:p>
            <w:pPr>
              <w:pStyle w:val="Compact"/>
            </w:pPr>
            <w:r>
              <w:t xml:space="preserve">RA-5/SI-2 for the service backend is Microsoft’s responsibility under the FedRAMP ATO; the agency’s remaining SI-2 exposure is the endpoint OS layer, which is scanned regardless of whether a distribution point exists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Continuous compliance evidence (CA-7)</w:t>
            </w:r>
          </w:p>
        </w:tc>
        <w:tc>
          <w:tcPr/>
          <w:p>
            <w:pPr>
              <w:pStyle w:val="Compact"/>
            </w:pPr>
            <w:r>
              <w:t xml:space="preserve">A distribution point has no compliance state of its own — successful content delivery is not a compliance claim, and a stalled or compromised distribution point is invisible to continuous monitoring unless separately instrumented</w:t>
            </w:r>
          </w:p>
        </w:tc>
        <w:tc>
          <w:tcPr/>
          <w:p>
            <w:pPr>
              <w:pStyle w:val="Compact"/>
            </w:pPr>
            <w:r>
              <w:t xml:space="preserve">Native, continuous per-device compliance evaluation feeding Conditional Access in real time — the machine-verified evidence stream this corpus documents in</w:t>
            </w:r>
            <w:r>
              <w:t xml:space="preserve"> </w:t>
            </w:r>
            <w:hyperlink r:id="rId97">
              <w:r>
                <w:rPr>
                  <w:rStyle w:val="Hyperlink"/>
                </w:rPr>
                <w:t xml:space="preserve">Ticket-to-Machine, Not Ticket-to-Human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Transmission confidentiality (SC-8)</w:t>
            </w:r>
          </w:p>
        </w:tc>
        <w:tc>
          <w:tcPr/>
          <w:p>
            <w:pPr>
              <w:pStyle w:val="Compact"/>
            </w:pPr>
            <w:r>
              <w:t xml:space="preserve">Configurable — an HTTPS distribution point with a FIPS-validated certificate closes it — but this is a per-server configuration choice that must be verified, not a default</w:t>
            </w:r>
          </w:p>
        </w:tc>
        <w:tc>
          <w:tcPr/>
          <w:p>
            <w:pPr>
              <w:pStyle w:val="Compact"/>
            </w:pPr>
            <w:r>
              <w:t xml:space="preserve">TLS to Microsoft’s FedRAMP-authorized endpoints is standard by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System Security Plan footprint</w:t>
            </w:r>
          </w:p>
        </w:tc>
        <w:tc>
          <w:tcPr/>
          <w:p>
            <w:pPr>
              <w:pStyle w:val="Compact"/>
            </w:pPr>
            <w:r>
              <w:t xml:space="preserve">Every distribution point is its own system component: its own SSP entry, its own POA&amp;M line items, its own place in the authorization boundary</w:t>
            </w:r>
          </w:p>
        </w:tc>
        <w:tc>
          <w:tcPr/>
          <w:p>
            <w:pPr>
              <w:pStyle w:val="Compact"/>
            </w:pPr>
            <w:r>
              <w:t xml:space="preserve">Not a separate SSP component; already covered under the M365 GCC ATO boundary claimed for Intune-managed endpoints</w:t>
            </w:r>
          </w:p>
        </w:tc>
      </w:tr>
    </w:tbl>
    <w:p>
      <w:pPr>
        <w:pStyle w:val="BodyText"/>
      </w:pPr>
      <w:r>
        <w:t xml:space="preserve">None of this is a substitution, and that is the point. For as long as</w:t>
      </w:r>
      <w:r>
        <w:t xml:space="preserve"> </w:t>
      </w:r>
      <w:r>
        <w:t xml:space="preserve">any distribution point exists — 1,500 today, 24 under this design’s</w:t>
      </w:r>
      <w:r>
        <w:t xml:space="preserve"> </w:t>
      </w:r>
      <w:r>
        <w:t xml:space="preserve">Section 4 target, or whatever smaller number Section 4.7’s gates</w:t>
      </w:r>
      <w:r>
        <w:t xml:space="preserve"> </w:t>
      </w:r>
      <w:r>
        <w:t xml:space="preserve">eventually allow — its STIG baseline, its vulnerability scan cadence,</w:t>
      </w:r>
      <w:r>
        <w:t xml:space="preserve"> </w:t>
      </w:r>
      <w:r>
        <w:t xml:space="preserve">and its SSP entry must be built and sustained as their own compliance</w:t>
      </w:r>
      <w:r>
        <w:t xml:space="preserve"> </w:t>
      </w:r>
      <w:r>
        <w:t xml:space="preserve">program,</w:t>
      </w:r>
      <w:r>
        <w:t xml:space="preserve"> </w:t>
      </w:r>
      <w:r>
        <w:rPr>
          <w:b/>
          <w:bCs/>
        </w:rPr>
        <w:t xml:space="preserve">in addition to</w:t>
      </w:r>
      <w:r>
        <w:t xml:space="preserve">, not instead of, whatever compliance</w:t>
      </w:r>
      <w:r>
        <w:t xml:space="preserve"> </w:t>
      </w:r>
      <w:r>
        <w:t xml:space="preserve">program already covers the 70,000-endpoint Intune-managed fleet.</w:t>
      </w:r>
      <w:r>
        <w:t xml:space="preserve"> </w:t>
      </w:r>
      <w:r>
        <w:t xml:space="preserve">Section 6’s cost model prices distribution point hardware and</w:t>
      </w:r>
      <w:r>
        <w:t xml:space="preserve"> </w:t>
      </w:r>
      <w:r>
        <w:t xml:space="preserve">licensing; it does not price this labor. Section 3.2’s</w:t>
      </w:r>
      <w:r>
        <w:t xml:space="preserve"> </w:t>
      </w:r>
      <w:r>
        <w:t xml:space="preserve">“compliance</w:t>
      </w:r>
      <w:r>
        <w:t xml:space="preserve"> </w:t>
      </w:r>
      <w:r>
        <w:t xml:space="preserve">sustainment”</w:t>
      </w:r>
      <w:r>
        <w:t xml:space="preserve"> </w:t>
      </w:r>
      <w:r>
        <w:t xml:space="preserve">line item is this program, understated: consolidating to</w:t>
      </w:r>
      <w:r>
        <w:t xml:space="preserve"> </w:t>
      </w:r>
      <w:r>
        <w:t xml:space="preserve">24 distribution points shrinks it to roughly a twelfth of its former</w:t>
      </w:r>
      <w:r>
        <w:t xml:space="preserve"> </w:t>
      </w:r>
      <w:r>
        <w:t xml:space="preserve">size, but it does not shrink to zero, and it does not shrink at all</w:t>
      </w:r>
      <w:r>
        <w:t xml:space="preserve"> </w:t>
      </w:r>
      <w:r>
        <w:t xml:space="preserve">until Section 4.7’s gates close.</w:t>
      </w:r>
    </w:p>
    <w:bookmarkEnd w:id="98"/>
    <w:bookmarkStart w:id="102" w:name="X4998567ec9556187b12bb169b71200cf42f65af"/>
    <w:p>
      <w:pPr>
        <w:pStyle w:val="Heading3"/>
      </w:pPr>
      <w:r>
        <w:t xml:space="preserve">A.2 Compliance and reporting drivers, independent of cost</w:t>
      </w:r>
    </w:p>
    <w:p>
      <w:pPr>
        <w:pStyle w:val="FirstParagraph"/>
      </w:pPr>
      <w:r>
        <w:t xml:space="preserve">Sections 2 through 6 make the economic case: even under downside MPLS</w:t>
      </w:r>
      <w:r>
        <w:t xml:space="preserve"> </w:t>
      </w:r>
      <w:r>
        <w:t xml:space="preserve">assumptions, this program is cheaper than the proposed refresh. That</w:t>
      </w:r>
      <w:r>
        <w:t xml:space="preserve"> </w:t>
      </w:r>
      <w:r>
        <w:t xml:space="preserve">economic case is not the only one. NIST, CISA, and the the compliance series control-</w:t>
      </w:r>
      <w:r>
        <w:t xml:space="preserve"> </w:t>
      </w:r>
      <w:r>
        <w:t xml:space="preserve">closure ledger this corpus maintains give the agency reasons to build</w:t>
      </w:r>
      <w:r>
        <w:t xml:space="preserve"> </w:t>
      </w:r>
      <w:r>
        <w:t xml:space="preserve">SD-WAN and TIC 3.0 branch breakout at these 1,500 sites that hold even</w:t>
      </w:r>
      <w:r>
        <w:t xml:space="preserve"> </w:t>
      </w:r>
      <w:r>
        <w:t xml:space="preserve">if Section 6.3’s sensitivity analysis had come out unfavorably.</w:t>
      </w:r>
    </w:p>
    <w:p>
      <w:pPr>
        <w:pStyle w:val="BodyText"/>
      </w:pPr>
      <w:r>
        <w:rPr>
          <w:b/>
          <w:bCs/>
        </w:rPr>
        <w:t xml:space="preserve">NIST SP 800-53 controls a flat MPLS branch with centralized-only</w:t>
      </w:r>
      <w:r>
        <w:rPr>
          <w:b/>
          <w:bCs/>
        </w:rPr>
        <w:t xml:space="preserve"> </w:t>
      </w:r>
      <w:r>
        <w:rPr>
          <w:b/>
          <w:bCs/>
        </w:rPr>
        <w:t xml:space="preserve">inspection leaves unclaimed or weakly claimed.</w:t>
      </w:r>
      <w:r>
        <w:t xml:space="preserve"> </w:t>
      </w:r>
      <w:r>
        <w:t xml:space="preserve">The full mapping —</w:t>
      </w:r>
      <w:r>
        <w:t xml:space="preserve"> </w:t>
      </w:r>
      <w:r>
        <w:t xml:space="preserve">control by control, with the evidence source for each — is maintained</w:t>
      </w:r>
      <w:r>
        <w:t xml:space="preserve"> </w:t>
      </w:r>
      <w:r>
        <w:t xml:space="preserve">in</w:t>
      </w:r>
      <w:r>
        <w:t xml:space="preserve"> </w:t>
      </w:r>
      <w:hyperlink r:id="rId17">
        <w:r>
          <w:rPr>
            <w:rStyle w:val="Hyperlink"/>
          </w:rPr>
          <w:t xml:space="preserve">SD-WAN vs. DIA Under TIC 3.0</w:t>
        </w:r>
      </w:hyperlink>
      <w:r>
        <w:t xml:space="preserve">, §5, and in</w:t>
      </w:r>
      <w:r>
        <w:t xml:space="preserve"> </w:t>
      </w:r>
      <w:r>
        <w:t xml:space="preserve">Vol I Book 07 of the Federal Compliance series; this</w:t>
      </w:r>
      <w:r>
        <w:t xml:space="preserve"> </w:t>
      </w:r>
      <w:r>
        <w:t xml:space="preserve">section states only which of those closures land at field offices</w:t>
      </w:r>
      <w:r>
        <w:t xml:space="preserve"> </w:t>
      </w:r>
      <w:r>
        <w:t xml:space="preserve">specifically, not the derivation: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SC-7 (Boundary Protection) and SC-7(4)</w:t>
      </w:r>
      <w:r>
        <w:t xml:space="preserve"> </w:t>
      </w:r>
      <w:r>
        <w:t xml:space="preserve">— a governed distributed</w:t>
      </w:r>
      <w:r>
        <w:t xml:space="preserve"> </w:t>
      </w:r>
      <w:r>
        <w:t xml:space="preserve">policy enforcement point at the regional hub, not the flat branch</w:t>
      </w:r>
      <w:r>
        <w:t xml:space="preserve"> </w:t>
      </w:r>
      <w:r>
        <w:t xml:space="preserve">circuit itself, is what makes local egress an assessed boundary</w:t>
      </w:r>
      <w:r>
        <w:t xml:space="preserve"> </w:t>
      </w:r>
      <w:r>
        <w:t xml:space="preserve">rather than a gap in one.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SC-8 / SC-8(1) (Transmission Confidentiality, Cryptographic</w:t>
      </w:r>
      <w:r>
        <w:rPr>
          <w:b/>
          <w:bCs/>
        </w:rPr>
        <w:t xml:space="preserve"> </w:t>
      </w:r>
      <w:r>
        <w:rPr>
          <w:b/>
          <w:bCs/>
        </w:rPr>
        <w:t xml:space="preserve">Protection)</w:t>
      </w:r>
      <w:r>
        <w:t xml:space="preserve"> </w:t>
      </w:r>
      <w:r>
        <w:t xml:space="preserve">— closed by the SD-WAN overlay’s circuit-wide IPsec,</w:t>
      </w:r>
      <w:r>
        <w:t xml:space="preserve"> </w:t>
      </w:r>
      <w:r>
        <w:t xml:space="preserve">not by the DIA/MPLS pipe underneath it.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AC-4 (Information Flow Enforcement) and SI-3 (Malicious Code</w:t>
      </w:r>
      <w:r>
        <w:rPr>
          <w:b/>
          <w:bCs/>
        </w:rPr>
        <w:t xml:space="preserve"> </w:t>
      </w:r>
      <w:r>
        <w:rPr>
          <w:b/>
          <w:bCs/>
        </w:rPr>
        <w:t xml:space="preserve">Protection)</w:t>
      </w:r>
      <w:r>
        <w:t xml:space="preserve"> </w:t>
      </w:r>
      <w:r>
        <w:t xml:space="preserve">— provided by the SASE/SSE stack this program’s Phase 1</w:t>
      </w:r>
      <w:r>
        <w:t xml:space="preserve"> </w:t>
      </w:r>
      <w:r>
        <w:t xml:space="preserve">deploys at the hub tier (Section 4.5), not by the branch router.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SI-4 and AU-12 (System Monitoring, Audit Generation)</w:t>
      </w:r>
      <w:r>
        <w:t xml:space="preserve"> </w:t>
      </w:r>
      <w:r>
        <w:t xml:space="preserve">— the</w:t>
      </w:r>
      <w:r>
        <w:t xml:space="preserve"> </w:t>
      </w:r>
      <w:r>
        <w:t xml:space="preserve">application-aware routing and path telemetry this program’s SD-WAN</w:t>
      </w:r>
      <w:r>
        <w:t xml:space="preserve"> </w:t>
      </w:r>
      <w:r>
        <w:t xml:space="preserve">overlay generates is the evidence source; a static branch circuit</w:t>
      </w:r>
      <w:r>
        <w:t xml:space="preserve"> </w:t>
      </w:r>
      <w:r>
        <w:t xml:space="preserve">generates none of it.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CP-8 (Telecommunications Services), CP-8(2) and CP-8(3) (Single</w:t>
      </w:r>
      <w:r>
        <w:rPr>
          <w:b/>
          <w:bCs/>
        </w:rPr>
        <w:t xml:space="preserve"> </w:t>
      </w:r>
      <w:r>
        <w:rPr>
          <w:b/>
          <w:bCs/>
        </w:rPr>
        <w:t xml:space="preserve">Points of Failure, Provider Diversity)</w:t>
      </w:r>
      <w:r>
        <w:t xml:space="preserve"> </w:t>
      </w:r>
      <w:r>
        <w:t xml:space="preserve">— closed directly by this</w:t>
      </w:r>
      <w:r>
        <w:t xml:space="preserve"> </w:t>
      </w:r>
      <w:r>
        <w:t xml:space="preserve">program’s own dual-path branch design in Section 4.4: DIA plus a</w:t>
      </w:r>
      <w:r>
        <w:t xml:space="preserve"> </w:t>
      </w:r>
      <w:r>
        <w:t xml:space="preserve">physically diverse 5G secondary path at all 1,500 sites is the</w:t>
      </w:r>
      <w:r>
        <w:t xml:space="preserve"> </w:t>
      </w:r>
      <w:r>
        <w:t xml:space="preserve">CP-8(2)/CP-8(3) closure, not an add-on to it.</w:t>
      </w:r>
    </w:p>
    <w:p>
      <w:pPr>
        <w:pStyle w:val="FirstParagraph"/>
      </w:pPr>
      <w:r>
        <w:t xml:space="preserve">None of these controls are claimed by hardware sitting idle in a</w:t>
      </w:r>
      <w:r>
        <w:t xml:space="preserve"> </w:t>
      </w:r>
      <w:r>
        <w:t xml:space="preserve">closet. They are claimed by the SD-WAN, SASE, and diverse-transport</w:t>
      </w:r>
      <w:r>
        <w:t xml:space="preserve"> </w:t>
      </w:r>
      <w:r>
        <w:t xml:space="preserve">architecture this paper’s Section 4 already specifies — which means</w:t>
      </w:r>
      <w:r>
        <w:t xml:space="preserve"> </w:t>
      </w:r>
      <w:r>
        <w:t xml:space="preserve">the compliance case and the architecture case point at the same build,</w:t>
      </w:r>
      <w:r>
        <w:t xml:space="preserve"> </w:t>
      </w:r>
      <w:r>
        <w:t xml:space="preserve">not two different ones.</w:t>
      </w:r>
    </w:p>
    <w:p>
      <w:pPr>
        <w:pStyle w:val="BodyText"/>
      </w:pPr>
      <w:r>
        <w:rPr>
          <w:b/>
          <w:bCs/>
        </w:rPr>
        <w:t xml:space="preserve">CISA’s Zero Trust Maturity Model v2.0 cross-cutting capabilities</w:t>
      </w:r>
      <w:r>
        <w:t xml:space="preserve"> </w:t>
      </w:r>
      <w:r>
        <w:t xml:space="preserve">— Visibility and Analytics, Automation and Orchestration, and</w:t>
      </w:r>
      <w:r>
        <w:t xml:space="preserve"> </w:t>
      </w:r>
      <w:r>
        <w:t xml:space="preserve">Governance — run underneath every pillar, not beside them, per</w:t>
      </w:r>
      <w:r>
        <w:t xml:space="preserve"> </w:t>
      </w:r>
      <w:hyperlink r:id="rId99">
        <w:r>
          <w:rPr>
            <w:rStyle w:val="Hyperlink"/>
          </w:rPr>
          <w:t xml:space="preserve">Zero Trust Governance Principles</w:t>
        </w:r>
      </w:hyperlink>
      <w:r>
        <w:t xml:space="preserve">.</w:t>
      </w:r>
      <w:r>
        <w:t xml:space="preserve"> </w:t>
      </w:r>
      <w:r>
        <w:t xml:space="preserve">A flat MPLS branch fleet is opaque to all three: there is no correlated</w:t>
      </w:r>
      <w:r>
        <w:t xml:space="preserve"> </w:t>
      </w:r>
      <w:r>
        <w:t xml:space="preserve">telemetry to see, no policy surface to automate against, and nothing</w:t>
      </w:r>
      <w:r>
        <w:t xml:space="preserve"> </w:t>
      </w:r>
      <w:r>
        <w:t xml:space="preserve">for governance to enforce. Twelve governed hub sites with SD-WAN and</w:t>
      </w:r>
      <w:r>
        <w:t xml:space="preserve"> </w:t>
      </w:r>
      <w:r>
        <w:t xml:space="preserve">SASE telemetry are what give the Network pillar a cross-cutting</w:t>
      </w:r>
      <w:r>
        <w:t xml:space="preserve"> </w:t>
      </w:r>
      <w:r>
        <w:t xml:space="preserve">capability to report at all — this is a maturity-model argument, not</w:t>
      </w:r>
      <w:r>
        <w:t xml:space="preserve"> </w:t>
      </w:r>
      <w:r>
        <w:t xml:space="preserve">only a security one, and it applies whether or not the MPLS economics</w:t>
      </w:r>
      <w:r>
        <w:t xml:space="preserve"> </w:t>
      </w:r>
      <w:r>
        <w:t xml:space="preserve">in Section 6.3 favor the program.</w:t>
      </w:r>
    </w:p>
    <w:p>
      <w:pPr>
        <w:pStyle w:val="BodyText"/>
      </w:pPr>
      <w:r>
        <w:rPr>
          <w:b/>
          <w:bCs/>
        </w:rPr>
        <w:t xml:space="preserve">BOD-25-01’s discipline applies here even though its text does not.</w:t>
      </w:r>
      <w:r>
        <w:t xml:space="preserve"> </w:t>
      </w:r>
      <w:r>
        <w:t xml:space="preserve">CISA</w:t>
      </w:r>
      <w:r>
        <w:t xml:space="preserve"> </w:t>
      </w:r>
      <w:hyperlink r:id="rId100">
        <w:r>
          <w:rPr>
            <w:rStyle w:val="Hyperlink"/>
          </w:rPr>
          <w:t xml:space="preserve">Binding Operational Directive 25-01</w:t>
        </w:r>
      </w:hyperlink>
      <w:r>
        <w:t xml:space="preserve"> </w:t>
      </w:r>
      <w:r>
        <w:t xml:space="preserve">governs Microsoft 365 tenant configuration, not branch network</w:t>
      </w:r>
      <w:r>
        <w:t xml:space="preserve"> </w:t>
      </w:r>
      <w:r>
        <w:t xml:space="preserve">architecture — it is not itself a network mandate, and this paper does</w:t>
      </w:r>
      <w:r>
        <w:t xml:space="preserve"> </w:t>
      </w:r>
      <w:r>
        <w:t xml:space="preserve">not claim otherwise. What transfers is the sequencing lesson</w:t>
      </w:r>
      <w:r>
        <w:t xml:space="preserve"> </w:t>
      </w:r>
      <w:hyperlink r:id="rId101">
        <w:r>
          <w:rPr>
            <w:rStyle w:val="Hyperlink"/>
          </w:rPr>
          <w:t xml:space="preserve">Assessment Tools vs. Closing BOD-25-01 Findings</w:t>
        </w:r>
      </w:hyperlink>
      <w:r>
        <w:t xml:space="preserve"> </w:t>
      </w:r>
      <w:r>
        <w:t xml:space="preserve">documents for M365 baselines: an assessment tool that measures</w:t>
      </w:r>
      <w:r>
        <w:t xml:space="preserve"> </w:t>
      </w:r>
      <w:r>
        <w:t xml:space="preserve">deviation from a control is not the same claim as having closed it.</w:t>
      </w:r>
      <w:r>
        <w:t xml:space="preserve"> </w:t>
      </w:r>
      <w:r>
        <w:t xml:space="preserve">Running a ZTMM self-assessment or a network vulnerability scan against</w:t>
      </w:r>
      <w:r>
        <w:t xml:space="preserve"> </w:t>
      </w:r>
      <w:r>
        <w:t xml:space="preserve">1,500 flat, ungoverned branch egress points produces the same growing</w:t>
      </w:r>
      <w:r>
        <w:t xml:space="preserve"> </w:t>
      </w:r>
      <w:r>
        <w:t xml:space="preserve">deviation list that paper describes for unremediated SCuBA findings —</w:t>
      </w:r>
      <w:r>
        <w:t xml:space="preserve"> </w:t>
      </w:r>
      <w:r>
        <w:t xml:space="preserve">the assessment keeps finding the gap; only the SD-WAN/SASE build in</w:t>
      </w:r>
      <w:r>
        <w:t xml:space="preserve"> </w:t>
      </w:r>
      <w:r>
        <w:t xml:space="preserve">Section 4 closes it. Remediate first, then assess, applies to the</w:t>
      </w:r>
      <w:r>
        <w:t xml:space="preserve"> </w:t>
      </w:r>
      <w:r>
        <w:t xml:space="preserve">network layer exactly as it applies to the tenant layer.</w:t>
      </w:r>
    </w:p>
    <w:bookmarkEnd w:id="102"/>
    <w:bookmarkEnd w:id="103"/>
    <w:bookmarkStart w:id="105" w:name="sources"/>
    <w:p>
      <w:pPr>
        <w:pStyle w:val="Heading2"/>
      </w:pPr>
      <w:r>
        <w:t xml:space="preserve">Sources</w:t>
      </w:r>
    </w:p>
    <w:p>
      <w:pPr>
        <w:pStyle w:val="Compact"/>
        <w:numPr>
          <w:ilvl w:val="0"/>
          <w:numId w:val="1013"/>
        </w:numPr>
      </w:pPr>
      <w:hyperlink r:id="rId20">
        <w:r>
          <w:rPr>
            <w:rStyle w:val="Hyperlink"/>
          </w:rPr>
          <w:t xml:space="preserve">Size and scale — Configuration Manager (Microsoft Learn)</w:t>
        </w:r>
      </w:hyperlink>
      <w:r>
        <w:t xml:space="preserve"> </w:t>
      </w:r>
      <w:r>
        <w:t xml:space="preserve">— distribution point, primary site, and packages-per-DP capacity limits (Section 3.1, 4.3).</w:t>
      </w:r>
    </w:p>
    <w:p>
      <w:pPr>
        <w:pStyle w:val="Compact"/>
        <w:numPr>
          <w:ilvl w:val="0"/>
          <w:numId w:val="1013"/>
        </w:numPr>
      </w:pPr>
      <w:hyperlink r:id="rId104">
        <w:r>
          <w:rPr>
            <w:rStyle w:val="Hyperlink"/>
          </w:rPr>
          <w:t xml:space="preserve">Manage distribution points — Configuration Manager (Microsoft Learn)</w:t>
        </w:r>
      </w:hyperlink>
      <w:r>
        <w:t xml:space="preserve"> </w:t>
      </w:r>
      <w:r>
        <w:t xml:space="preserve">— pull-distribution-point configuration and behavior (Section 3.2); the simultaneous-request fan-out warning itself is on the</w:t>
      </w:r>
      <w:r>
        <w:t xml:space="preserve"> </w:t>
      </w:r>
      <w:hyperlink r:id="rId20">
        <w:r>
          <w:rPr>
            <w:rStyle w:val="Hyperlink"/>
          </w:rPr>
          <w:t xml:space="preserve">Size and scale</w:t>
        </w:r>
      </w:hyperlink>
      <w:r>
        <w:t xml:space="preserve"> </w:t>
      </w:r>
      <w:r>
        <w:t xml:space="preserve">page cited above, which this section also draws on.</w:t>
      </w:r>
    </w:p>
    <w:p>
      <w:pPr>
        <w:pStyle w:val="Compact"/>
        <w:numPr>
          <w:ilvl w:val="0"/>
          <w:numId w:val="1013"/>
        </w:numPr>
      </w:pPr>
      <w:hyperlink r:id="rId59">
        <w:r>
          <w:rPr>
            <w:rStyle w:val="Hyperlink"/>
          </w:rPr>
          <w:t xml:space="preserve">Co-management workloads (Microsoft Learn)</w:t>
        </w:r>
      </w:hyperlink>
      <w:r>
        <w:t xml:space="preserve"> </w:t>
      </w:r>
      <w:r>
        <w:t xml:space="preserve">— the seven workload sliders underlying the all-in gates (Section 4.7).</w:t>
      </w:r>
    </w:p>
    <w:p>
      <w:pPr>
        <w:pStyle w:val="Compact"/>
        <w:numPr>
          <w:ilvl w:val="0"/>
          <w:numId w:val="1013"/>
        </w:numPr>
      </w:pPr>
      <w:hyperlink r:id="rId62">
        <w:r>
          <w:rPr>
            <w:rStyle w:val="Hyperlink"/>
          </w:rPr>
          <w:t xml:space="preserve">Prerequisites for Windows Autopatch (Microsoft Learn)</w:t>
        </w:r>
      </w:hyperlink>
      <w:r>
        <w:t xml:space="preserve"> </w:t>
      </w:r>
      <w:r>
        <w:t xml:space="preserve">— the update-workload pairing cited as Gate 2 (Section 4.7).</w:t>
      </w:r>
    </w:p>
    <w:p>
      <w:pPr>
        <w:pStyle w:val="Compact"/>
        <w:numPr>
          <w:ilvl w:val="0"/>
          <w:numId w:val="1013"/>
        </w:numPr>
      </w:pPr>
      <w:hyperlink r:id="rId64">
        <w:r>
          <w:rPr>
            <w:rStyle w:val="Hyperlink"/>
          </w:rPr>
          <w:t xml:space="preserve">Microsoft Connected Cache with Configuration Manager (Microsoft Learn)</w:t>
        </w:r>
      </w:hyperlink>
      <w:r>
        <w:t xml:space="preserve"> </w:t>
      </w:r>
      <w:r>
        <w:t xml:space="preserve">— the DP-hosted-MCC nuance behind Gate 4 (Section 4.7).</w:t>
      </w:r>
    </w:p>
    <w:p>
      <w:pPr>
        <w:pStyle w:val="Compact"/>
        <w:numPr>
          <w:ilvl w:val="0"/>
          <w:numId w:val="1013"/>
        </w:numPr>
      </w:pPr>
      <w:hyperlink r:id="rId17">
        <w:r>
          <w:rPr>
            <w:rStyle w:val="Hyperlink"/>
          </w:rPr>
          <w:t xml:space="preserve">SD-WAN vs. DIA Under TIC 3.0</w:t>
        </w:r>
      </w:hyperlink>
      <w:r>
        <w:t xml:space="preserve">, §5 — the full NIST SP 800-53 control-closure mapping this paper draws its field-office-specific closures from (Sections 4.2, 4.5, 4.8).</w:t>
      </w:r>
    </w:p>
    <w:p>
      <w:pPr>
        <w:pStyle w:val="Compact"/>
        <w:numPr>
          <w:ilvl w:val="0"/>
          <w:numId w:val="1013"/>
        </w:numPr>
      </w:pPr>
      <w:hyperlink r:id="rId18">
        <w:r>
          <w:rPr>
            <w:rStyle w:val="Hyperlink"/>
          </w:rPr>
          <w:t xml:space="preserve">Next Generation DNS</w:t>
        </w:r>
      </w:hyperlink>
      <w:r>
        <w:t xml:space="preserve">, Part 9 — the INR/GCC-Moderate exclusion finding this paper cites (Section 4.6).</w:t>
      </w:r>
    </w:p>
    <w:p>
      <w:pPr>
        <w:pStyle w:val="Compact"/>
        <w:numPr>
          <w:ilvl w:val="0"/>
          <w:numId w:val="1013"/>
        </w:numPr>
      </w:pPr>
      <w:hyperlink r:id="rId99">
        <w:r>
          <w:rPr>
            <w:rStyle w:val="Hyperlink"/>
          </w:rPr>
          <w:t xml:space="preserve">Zero Trust Governance Principles</w:t>
        </w:r>
      </w:hyperlink>
      <w:r>
        <w:t xml:space="preserve"> </w:t>
      </w:r>
      <w:r>
        <w:t xml:space="preserve">— the CISA ZTMM v2.0 cross-cutting capabilities argument (Appendix A.2).</w:t>
      </w:r>
    </w:p>
    <w:p>
      <w:pPr>
        <w:pStyle w:val="Compact"/>
        <w:numPr>
          <w:ilvl w:val="0"/>
          <w:numId w:val="1013"/>
        </w:numPr>
      </w:pPr>
      <w:hyperlink r:id="rId101">
        <w:r>
          <w:rPr>
            <w:rStyle w:val="Hyperlink"/>
          </w:rPr>
          <w:t xml:space="preserve">Assessment Tools vs. Closing BOD-25-01 Findings</w:t>
        </w:r>
      </w:hyperlink>
      <w:r>
        <w:t xml:space="preserve"> </w:t>
      </w:r>
      <w:r>
        <w:t xml:space="preserve">— the remediate-before-assess sequencing this paper extends from the M365 tenant layer to the network layer (Appendix A.2).</w:t>
      </w:r>
    </w:p>
    <w:p>
      <w:pPr>
        <w:pStyle w:val="Compact"/>
        <w:numPr>
          <w:ilvl w:val="0"/>
          <w:numId w:val="1013"/>
        </w:numPr>
      </w:pPr>
      <w:hyperlink r:id="rId100">
        <w:r>
          <w:rPr>
            <w:rStyle w:val="Hyperlink"/>
          </w:rPr>
          <w:t xml:space="preserve">Binding Operational Directive 25-01 (CISA)</w:t>
        </w:r>
      </w:hyperlink>
      <w:r>
        <w:t xml:space="preserve"> </w:t>
      </w:r>
      <w:r>
        <w:t xml:space="preserve">— cited directly for scope, to state plainly what it does and does not govern (Appendix A.2).</w:t>
      </w:r>
    </w:p>
    <w:p>
      <w:pPr>
        <w:pStyle w:val="Compact"/>
        <w:numPr>
          <w:ilvl w:val="0"/>
          <w:numId w:val="1013"/>
        </w:numPr>
      </w:pPr>
      <w:hyperlink r:id="rId97">
        <w:r>
          <w:rPr>
            <w:rStyle w:val="Hyperlink"/>
          </w:rPr>
          <w:t xml:space="preserve">Ticket-to-Machine, Not Ticket-to-Human</w:t>
        </w:r>
      </w:hyperlink>
      <w:r>
        <w:t xml:space="preserve"> </w:t>
      </w:r>
      <w:r>
        <w:t xml:space="preserve">— the continuous machine-verified evidence model contrasted against distribution points in Appendix A.1.</w:t>
      </w:r>
    </w:p>
    <w:p>
      <w:pPr>
        <w:pStyle w:val="Compact"/>
        <w:numPr>
          <w:ilvl w:val="0"/>
          <w:numId w:val="1013"/>
        </w:numPr>
      </w:pPr>
      <w:r>
        <w:t xml:space="preserve">the program decision, Intune-First Asset Onboarding — the co-management doctrine this paper’s Phase 1 framing reconciles to (Section 2.2).</w:t>
      </w:r>
    </w:p>
    <w:p>
      <w:pPr>
        <w:pStyle w:val="Compact"/>
        <w:numPr>
          <w:ilvl w:val="0"/>
          <w:numId w:val="1013"/>
        </w:numPr>
      </w:pPr>
      <w:hyperlink r:id="rId70">
        <w:r>
          <w:rPr>
            <w:rStyle w:val="Hyperlink"/>
            <w:i/>
            <w:iCs/>
          </w:rPr>
          <w:t xml:space="preserve">The Journey to Zero Trust: Using Secure Access Service Edge in a Modern TIC 3.0 Solution</w:t>
        </w:r>
      </w:hyperlink>
      <w:r>
        <w:t xml:space="preserve"> </w:t>
      </w:r>
      <w:r>
        <w:t xml:space="preserve">(CISA, June 2026) — the CLAW/E1E telemetry-replacement mechanism, the three-way onboarding coordination requirement, Protective DNS via DoH satisfying OMB M-22-09, and the TIC PEP Security Capability Groups mapping (Section 4.9).</w:t>
      </w:r>
    </w:p>
    <w:p>
      <w:pPr>
        <w:pStyle w:val="FirstParagraph"/>
      </w:pPr>
      <w:r>
        <w:rPr>
          <w:i/>
          <w:iCs/>
        </w:rPr>
        <w:t xml:space="preserve">Prepared for internal agency review. Cost figures are planning</w:t>
      </w:r>
      <w:r>
        <w:rPr>
          <w:i/>
          <w:iCs/>
        </w:rPr>
        <w:t xml:space="preserve"> </w:t>
      </w:r>
      <w:r>
        <w:rPr>
          <w:i/>
          <w:iCs/>
        </w:rPr>
        <w:t xml:space="preserve">estimates derived from published list pricing and industry benchmarks;</w:t>
      </w:r>
      <w:r>
        <w:rPr>
          <w:i/>
          <w:iCs/>
        </w:rPr>
        <w:t xml:space="preserve"> </w:t>
      </w:r>
      <w:r>
        <w:rPr>
          <w:i/>
          <w:iCs/>
        </w:rPr>
        <w:t xml:space="preserve">none constitutes a quotation. Product capability statements reflect</w:t>
      </w:r>
      <w:r>
        <w:rPr>
          <w:i/>
          <w:iCs/>
        </w:rPr>
        <w:t xml:space="preserve"> </w:t>
      </w:r>
      <w:r>
        <w:rPr>
          <w:i/>
          <w:iCs/>
        </w:rPr>
        <w:t xml:space="preserve">Microsoft and Cisco published documentation as of August 2026 and should</w:t>
      </w:r>
      <w:r>
        <w:rPr>
          <w:i/>
          <w:iCs/>
        </w:rPr>
        <w:t xml:space="preserve"> </w:t>
      </w:r>
      <w:r>
        <w:rPr>
          <w:i/>
          <w:iCs/>
        </w:rPr>
        <w:t xml:space="preserve">be reconfirmed before procurement action.</w:t>
      </w:r>
    </w:p>
    <w:bookmarkEnd w:id="105"/>
    <w:bookmarkEnd w:id="1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0">
        <w:r>
          <w:rPr>
            <w:rStyle w:val="Hyperlink"/>
          </w:rPr>
          <w:t xml:space="preserve">Size and scale — Configuration Manager (Microsoft Learn)</w:t>
        </w:r>
      </w:hyperlink>
      <w:r>
        <w:t xml:space="preserve">. Every capacity figure in Section 3.1 is sourced from this page.</w:t>
      </w:r>
    </w:p>
  </w:footnote>
  <w:footnote w:id="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0">
        <w:r>
          <w:rPr>
            <w:rStyle w:val="Hyperlink"/>
          </w:rPr>
          <w:t xml:space="preserve">Size and scale — Configuration Manager (Microsoft Learn)</w:t>
        </w:r>
      </w:hyperlink>
      <w:r>
        <w:t xml:space="preserve">. Every capacity figure in Section 3.1 is sourced from this page.</w:t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0">
        <w:r>
          <w:rPr>
            <w:rStyle w:val="Hyperlink"/>
          </w:rPr>
          <w:t xml:space="preserve">Size and scale — Configuration Manager (Microsoft Learn)</w:t>
        </w:r>
      </w:hyperlink>
      <w:r>
        <w:t xml:space="preserve">. Every capacity figure in Section 3.1 is sourced from this page.</w:t>
      </w:r>
    </w:p>
  </w:footnote>
  <w:footnote w:id="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9">
        <w:r>
          <w:rPr>
            <w:rStyle w:val="Hyperlink"/>
          </w:rPr>
          <w:t xml:space="preserve">Co-management workloads (Microsoft Learn)</w:t>
        </w:r>
      </w:hyperlink>
      <w:r>
        <w:t xml:space="preserve">.</w:t>
      </w:r>
    </w:p>
  </w:footnote>
  <w:footnote w:id="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9">
        <w:r>
          <w:rPr>
            <w:rStyle w:val="Hyperlink"/>
          </w:rPr>
          <w:t xml:space="preserve">Co-management workloads (Microsoft Learn)</w:t>
        </w:r>
      </w:hyperlink>
      <w:r>
        <w:t xml:space="preserve">.</w:t>
      </w:r>
    </w:p>
  </w:footnote>
  <w:footnote w:id="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2">
        <w:r>
          <w:rPr>
            <w:rStyle w:val="Hyperlink"/>
          </w:rPr>
          <w:t xml:space="preserve">Prerequisites for Windows Autopatch (Microsoft Learn)</w:t>
        </w:r>
      </w:hyperlink>
      <w:r>
        <w:t xml:space="preserve"> </w:t>
      </w:r>
      <w:r>
        <w:t xml:space="preserve">— requires the Windows Update Policies and Device Configuration workloads to be managed by Intune.</w:t>
      </w:r>
    </w:p>
  </w:footnote>
  <w:footnote w:id="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4">
        <w:r>
          <w:rPr>
            <w:rStyle w:val="Hyperlink"/>
          </w:rPr>
          <w:t xml:space="preserve">Microsoft Connected Cache with Configuration Manager — support for Intune Win32 apps (Microsoft Learn)</w:t>
        </w:r>
      </w:hyperlink>
      <w:r>
        <w:t xml:space="preserve">.</w:t>
      </w:r>
    </w:p>
  </w:footnote>
  <w:footnote w:id="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0">
        <w:r>
          <w:rPr>
            <w:rStyle w:val="Hyperlink"/>
            <w:i/>
            <w:iCs/>
          </w:rPr>
          <w:t xml:space="preserve">The Journey to Zero Trust: Using Secure Access</w:t>
        </w:r>
        <w:r>
          <w:rPr>
            <w:rStyle w:val="Hyperlink"/>
            <w:i/>
            <w:iCs/>
          </w:rPr>
          <w:t xml:space="preserve"> </w:t>
        </w:r>
        <w:r>
          <w:rPr>
            <w:rStyle w:val="Hyperlink"/>
            <w:i/>
            <w:iCs/>
          </w:rPr>
          <w:t xml:space="preserve">Service Edge in a Modern TIC 3.0 Solution</w:t>
        </w:r>
      </w:hyperlink>
      <w:r>
        <w:t xml:space="preserve">,</w:t>
      </w:r>
      <w:r>
        <w:t xml:space="preserve"> </w:t>
      </w:r>
      <w:r>
        <w:t xml:space="preserve">CISA, June 2026, §5.5 (CISA Telemetry and Security Services) and</w:t>
      </w:r>
      <w:r>
        <w:t xml:space="preserve"> </w:t>
      </w:r>
      <w:r>
        <w:t xml:space="preserve">Appendix A (TIC Security Capability Solutions, Table 2).</w:t>
      </w:r>
    </w:p>
  </w:footnote>
  <w:footnote w:id="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0">
        <w:r>
          <w:rPr>
            <w:rStyle w:val="Hyperlink"/>
            <w:i/>
            <w:iCs/>
          </w:rPr>
          <w:t xml:space="preserve">The Journey to Zero Trust: Using Secure Access</w:t>
        </w:r>
        <w:r>
          <w:rPr>
            <w:rStyle w:val="Hyperlink"/>
            <w:i/>
            <w:iCs/>
          </w:rPr>
          <w:t xml:space="preserve"> </w:t>
        </w:r>
        <w:r>
          <w:rPr>
            <w:rStyle w:val="Hyperlink"/>
            <w:i/>
            <w:iCs/>
          </w:rPr>
          <w:t xml:space="preserve">Service Edge in a Modern TIC 3.0 Solution</w:t>
        </w:r>
      </w:hyperlink>
      <w:r>
        <w:t xml:space="preserve">,</w:t>
      </w:r>
      <w:r>
        <w:t xml:space="preserve"> </w:t>
      </w:r>
      <w:r>
        <w:t xml:space="preserve">CISA, June 2026, §5.5 (CISA Telemetry and Security Services) and</w:t>
      </w:r>
      <w:r>
        <w:t xml:space="preserve"> </w:t>
      </w:r>
      <w:r>
        <w:t xml:space="preserve">Appendix A (TIC Security Capability Solutions, Table 2).</w:t>
      </w:r>
    </w:p>
  </w:footnote>
  <w:footnote w:id="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0">
        <w:r>
          <w:rPr>
            <w:rStyle w:val="Hyperlink"/>
            <w:i/>
            <w:iCs/>
          </w:rPr>
          <w:t xml:space="preserve">The Journey to Zero Trust: Using Secure Access</w:t>
        </w:r>
        <w:r>
          <w:rPr>
            <w:rStyle w:val="Hyperlink"/>
            <w:i/>
            <w:iCs/>
          </w:rPr>
          <w:t xml:space="preserve"> </w:t>
        </w:r>
        <w:r>
          <w:rPr>
            <w:rStyle w:val="Hyperlink"/>
            <w:i/>
            <w:iCs/>
          </w:rPr>
          <w:t xml:space="preserve">Service Edge in a Modern TIC 3.0 Solution</w:t>
        </w:r>
      </w:hyperlink>
      <w:r>
        <w:t xml:space="preserve">,</w:t>
      </w:r>
      <w:r>
        <w:t xml:space="preserve"> </w:t>
      </w:r>
      <w:r>
        <w:t xml:space="preserve">CISA, June 2026, §5.5 (CISA Telemetry and Security Services) and</w:t>
      </w:r>
      <w:r>
        <w:t xml:space="preserve"> </w:t>
      </w:r>
      <w:r>
        <w:t xml:space="preserve">Appendix A (TIC Security Capability Solutions, Table 2).</w:t>
      </w:r>
    </w:p>
  </w:footnote>
  <w:footnote w:id="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0">
        <w:r>
          <w:rPr>
            <w:rStyle w:val="Hyperlink"/>
            <w:i/>
            <w:iCs/>
          </w:rPr>
          <w:t xml:space="preserve">The Journey to Zero Trust: Using Secure Access</w:t>
        </w:r>
        <w:r>
          <w:rPr>
            <w:rStyle w:val="Hyperlink"/>
            <w:i/>
            <w:iCs/>
          </w:rPr>
          <w:t xml:space="preserve"> </w:t>
        </w:r>
        <w:r>
          <w:rPr>
            <w:rStyle w:val="Hyperlink"/>
            <w:i/>
            <w:iCs/>
          </w:rPr>
          <w:t xml:space="preserve">Service Edge in a Modern TIC 3.0 Solution</w:t>
        </w:r>
      </w:hyperlink>
      <w:r>
        <w:t xml:space="preserve">,</w:t>
      </w:r>
      <w:r>
        <w:t xml:space="preserve"> </w:t>
      </w:r>
      <w:r>
        <w:t xml:space="preserve">CISA, June 2026, §5.5 (CISA Telemetry and Security Services) and</w:t>
      </w:r>
      <w:r>
        <w:t xml:space="preserve"> </w:t>
      </w:r>
      <w:r>
        <w:t xml:space="preserve">Appendix A (TIC Security Capability Solutions, Table 2).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52" Target="../modernization-specs/sdwan.md" TargetMode="External" /><Relationship Type="http://schemas.openxmlformats.org/officeDocument/2006/relationships/hyperlink" Id="rId101" Target="bod-25-01-close-before-assess.md" TargetMode="External" /><Relationship Type="http://schemas.openxmlformats.org/officeDocument/2006/relationships/hyperlink" Id="rId59" Target="https://learn.microsoft.com/en-us/intune/configmgr/comanage/workloads" TargetMode="External" /><Relationship Type="http://schemas.openxmlformats.org/officeDocument/2006/relationships/hyperlink" Id="rId20" Target="https://learn.microsoft.com/en-us/intune/configmgr/core/plan-design/configs/size-and-scale-numbers" TargetMode="External" /><Relationship Type="http://schemas.openxmlformats.org/officeDocument/2006/relationships/hyperlink" Id="rId64" Target="https://learn.microsoft.com/en-us/intune/configmgr/core/plan-design/hierarchy/microsoft-connected-cache#support-for-intune-win32-apps" TargetMode="External" /><Relationship Type="http://schemas.openxmlformats.org/officeDocument/2006/relationships/hyperlink" Id="rId104" Target="https://learn.microsoft.com/en-us/intune/configmgr/core/servers/deploy/configure/install-and-configure-distribution-points" TargetMode="External" /><Relationship Type="http://schemas.openxmlformats.org/officeDocument/2006/relationships/hyperlink" Id="rId62" Target="https://learn.microsoft.com/en-us/windows/deployment/windows-autopatch/prepare/windows-autopatch-prerequisites" TargetMode="External" /><Relationship Type="http://schemas.openxmlformats.org/officeDocument/2006/relationships/hyperlink" Id="rId100" Target="https://www.cisa.gov/news-events/directives/bod-25-01-implementing-secure-practices-cloud-services" TargetMode="External" /><Relationship Type="http://schemas.openxmlformats.org/officeDocument/2006/relationships/hyperlink" Id="rId70" Target="https://www.cisa.gov/resources-tools/resources/using-sase-modern-tic-30-solution" TargetMode="External" /><Relationship Type="http://schemas.openxmlformats.org/officeDocument/2006/relationships/hyperlink" Id="rId18" Target="infoblox-hybrid-dns-unified-ddi.md" TargetMode="External" /><Relationship Type="http://schemas.openxmlformats.org/officeDocument/2006/relationships/hyperlink" Id="rId17" Target="tic3-sdwan-vs-dia.md" TargetMode="External" /><Relationship Type="http://schemas.openxmlformats.org/officeDocument/2006/relationships/hyperlink" Id="rId97" Target="ticket-to-machine-not-ticket-to-human.md" TargetMode="External" /><Relationship Type="http://schemas.openxmlformats.org/officeDocument/2006/relationships/hyperlink" Id="rId99" Target="zero-trust-governance-principle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../modernization-specs/sdwan.md" TargetMode="External" /><Relationship Type="http://schemas.openxmlformats.org/officeDocument/2006/relationships/hyperlink" Id="rId101" Target="bod-25-01-close-before-assess.md" TargetMode="External" /><Relationship Type="http://schemas.openxmlformats.org/officeDocument/2006/relationships/hyperlink" Id="rId59" Target="https://learn.microsoft.com/en-us/intune/configmgr/comanage/workloads" TargetMode="External" /><Relationship Type="http://schemas.openxmlformats.org/officeDocument/2006/relationships/hyperlink" Id="rId20" Target="https://learn.microsoft.com/en-us/intune/configmgr/core/plan-design/configs/size-and-scale-numbers" TargetMode="External" /><Relationship Type="http://schemas.openxmlformats.org/officeDocument/2006/relationships/hyperlink" Id="rId64" Target="https://learn.microsoft.com/en-us/intune/configmgr/core/plan-design/hierarchy/microsoft-connected-cache#support-for-intune-win32-apps" TargetMode="External" /><Relationship Type="http://schemas.openxmlformats.org/officeDocument/2006/relationships/hyperlink" Id="rId104" Target="https://learn.microsoft.com/en-us/intune/configmgr/core/servers/deploy/configure/install-and-configure-distribution-points" TargetMode="External" /><Relationship Type="http://schemas.openxmlformats.org/officeDocument/2006/relationships/hyperlink" Id="rId62" Target="https://learn.microsoft.com/en-us/windows/deployment/windows-autopatch/prepare/windows-autopatch-prerequisites" TargetMode="External" /><Relationship Type="http://schemas.openxmlformats.org/officeDocument/2006/relationships/hyperlink" Id="rId100" Target="https://www.cisa.gov/news-events/directives/bod-25-01-implementing-secure-practices-cloud-services" TargetMode="External" /><Relationship Type="http://schemas.openxmlformats.org/officeDocument/2006/relationships/hyperlink" Id="rId70" Target="https://www.cisa.gov/resources-tools/resources/using-sase-modern-tic-30-solution" TargetMode="External" /><Relationship Type="http://schemas.openxmlformats.org/officeDocument/2006/relationships/hyperlink" Id="rId18" Target="infoblox-hybrid-dns-unified-ddi.md" TargetMode="External" /><Relationship Type="http://schemas.openxmlformats.org/officeDocument/2006/relationships/hyperlink" Id="rId17" Target="tic3-sdwan-vs-dia.md" TargetMode="External" /><Relationship Type="http://schemas.openxmlformats.org/officeDocument/2006/relationships/hyperlink" Id="rId97" Target="ticket-to-machine-not-ticket-to-human.md" TargetMode="External" /><Relationship Type="http://schemas.openxmlformats.org/officeDocument/2006/relationships/hyperlink" Id="rId99" Target="zero-trust-governance-principle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Office WAN Transformation and Distribution Point Consolidation</dc:title>
  <dc:creator>Michael Stratton</dc:creator>
  <cp:keywords/>
  <dcterms:created xsi:type="dcterms:W3CDTF">2026-10-19T10:11:47Z</dcterms:created>
  <dcterms:modified xsi:type="dcterms:W3CDTF">2026-10-19T10:11:47Z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</vt:lpwstr>
  </property>
  <property fmtid="{D5CDD505-2E9C-101B-9397-08002B2CF9AE}" pid="7" name="created-at">
    <vt:lpwstr>2026-08-05</vt:lpwstr>
  </property>
  <property fmtid="{D5CDD505-2E9C-101B-9397-08002B2CF9AE}" pid="8" name="date">
    <vt:lpwstr>2026-08-01</vt:lpwstr>
  </property>
  <property fmtid="{D5CDD505-2E9C-101B-9397-08002B2CF9AE}" pid="9" name="derived-from">
    <vt:lpwstr>Independent cost-and-capacity analysis of a Configuration Manager distribution-point refresh proposal, cross-checked against Microsoft’s published Configuration Manager size-and-scale limits and reconciled to FMP’s Intune-First Asset Onboarding doctrine (the program decision). Shares its TIC 3.0 / SD-WAN argument with tic3-sdwan-vs-dia and its INR/GCC-Moderate finding with infoblox-hybrid-dns-unified-ddi — this paper cites both rather than re-deriving them, and contributes the distribution-point unit-economics argument that neither covers.</vt:lpwstr>
  </property>
  <property fmtid="{D5CDD505-2E9C-101B-9397-08002B2CF9AE}" pid="10" name="doc-type">
    <vt:lpwstr>whitepaper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draft</vt:lpwstr>
  </property>
  <property fmtid="{D5CDD505-2E9C-101B-9397-08002B2CF9AE}" pid="16" name="lifecycle_review">
    <vt:lpwstr>2027-02-05</vt:lpwstr>
  </property>
  <property fmtid="{D5CDD505-2E9C-101B-9397-08002B2CF9AE}" pid="17" name="repo-path">
    <vt:lpwstr>docs/customer-documents/whitepapers/field-office-wan-transformation-dp-consolidation.qmd</vt:lpwstr>
  </property>
  <property fmtid="{D5CDD505-2E9C-101B-9397-08002B2CF9AE}" pid="18" name="status">
    <vt:lpwstr>Draft</vt:lpwstr>
  </property>
  <property fmtid="{D5CDD505-2E9C-101B-9397-08002B2CF9AE}" pid="19" name="subtitle">
    <vt:lpwstr>An alternative to a proposed $50M distribution point hardware refresh across 1,500 field offices — SD-WAN, dedicated internet access, and a 12-hub content tier, sized against Configuration Manager’s own published capacity limits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1.1</vt:lpwstr>
  </property>
</Properties>
</file>