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  <Override PartName="/word/media/rId12.png" ContentType="image/png"/>
  <Override PartName="/word/media/rId64.png" ContentType="image/png"/>
  <Override PartName="/word/media/rId4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FMP vs Microsoft Native Tools — Gap Analysis</w:t>
      </w:r>
    </w:p>
    <w:p>
      <w:pPr>
        <w:pStyle w:val="Subtitle"/>
      </w:pPr>
      <w:r>
        <w:t xml:space="preserve">Why Microsoft’s 12 tools don’t replace a governance orchestration layer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2026-04-01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CaptionedFigure"/>
      </w:pPr>
      <w:r>
        <w:drawing>
          <wp:inline>
            <wp:extent cx="5334000" cy="2193701"/>
            <wp:effectExtent b="0" l="0" r="0" t="0"/>
            <wp:docPr descr="Consume native and third-party output into one governance pipeline; build only the discovery the tools don’t do." title="" id="10" name="Picture"/>
            <a:graphic>
              <a:graphicData uri="http://schemas.openxmlformats.org/drawingml/2006/picture">
                <pic:pic>
                  <pic:nvPicPr>
                    <pic:cNvPr descr="../images/diagrams/whitepapers/svg/fmp-vs-native-orchestration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3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Consume native and third-party output into one governance pipeline; build only the discovery the tools don’t do.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“Doesn’t Microsoft already do this?”</w:t>
            </w:r>
            <w:r>
              <w:t xml:space="preserve"> </w:t>
            </w:r>
            <w:r>
              <w:t xml:space="preserve">Partially — across twelve disconnected tools that, without significant custom glue, cover an estimated 30% of the AD assessment discovery surface and roughly 22% once the governance pipeline, cross-domain correlation, and drift detection are counted. OU hierarchy and delegation, DNS, PKI health, and trusts are essentially uncovered.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Position FMP as a complementary orchestration layer, not a replacement — the same pattern as FMP SCuBA and CISA ScubaGear. Consume Microsoft and third-party output (Azure Migrate, Group Policy Analytics, Defender for Identity, ScubaGear, ADRecon) through the FMPImportAdapters module; keep the PowerShell-first assessment module for the discovery Microsoft does not do; treat Defender for Identity as the good-enough security layer.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Do not frame the build-vs-buy decision as FMP</w:t>
            </w:r>
            <w:r>
              <w:t xml:space="preserve"> </w:t>
            </w:r>
            <w:r>
              <w:rPr>
                <w:i/>
                <w:iCs/>
              </w:rPr>
              <w:t xml:space="preserve">versus</w:t>
            </w:r>
            <w:r>
              <w:t xml:space="preserve"> </w:t>
            </w:r>
            <w:r>
              <w:t xml:space="preserve">Microsoft. Route native tool output into one governance pipeline, run the assessment module against a representative forest to replace this paper’s illustrative percentages with your own numbers, and carry the complementary positioning into the FedRAMP CWGs, CISA/FSCAC, and the Microsoft partner ecosystem (§10).</w:t>
            </w:r>
          </w:p>
          <w:p/>
        </w:tc>
      </w:tr>
    </w:tbl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short answer to</w:t>
      </w:r>
      <w:r>
        <w:t xml:space="preserve"> </w:t>
      </w:r>
      <w:r>
        <w:t xml:space="preserve">“Does Microsoft already do this?”</w:t>
      </w:r>
      <w:r>
        <w:t xml:space="preserve"> </w:t>
      </w:r>
      <w:r>
        <w:t xml:space="preserve">is:</w:t>
      </w:r>
      <w:r>
        <w:t xml:space="preserve"> </w:t>
      </w:r>
      <w:r>
        <w:rPr>
          <w:b/>
          <w:bCs/>
        </w:rPr>
        <w:t xml:space="preserve">Yes, partially — across 12 disconnected tools, none of which produce a unified governance pipeline.</w:t>
      </w:r>
    </w:p>
    <w:p>
      <w:pPr>
        <w:pStyle w:val="BodyText"/>
      </w:pPr>
      <w:r>
        <w:t xml:space="preserve">Microsoft offers excellent point solutions for specific assessment and migration tasks. But no single Microsoft tool — and no combination of them without significant custom glue — covers the full FMP assessment surface: forest topology → OU hierarchy → GPO inventory → DNS → PKI → computer objects → users/groups → trusts → sites → ACLs, all feeding into a Git-hosted governance pipeline with drift detection, canonical artifact management, and SLA-tracked remediation.</w:t>
      </w:r>
    </w:p>
    <w:p>
      <w:pPr>
        <w:pStyle w:val="BodyText"/>
      </w:pPr>
      <w:r>
        <w:t xml:space="preserve">FMP’s positioning is identical to FMP SCuBA’s relationship with CISA ScubaGear:</w:t>
      </w:r>
      <w:r>
        <w:t xml:space="preserve"> </w:t>
      </w:r>
      <w:r>
        <w:rPr>
          <w:b/>
          <w:bCs/>
        </w:rPr>
        <w:t xml:space="preserve">complementary orchestration layer, not competitive replacement.</w:t>
      </w:r>
      <w:r>
        <w:t xml:space="preserve"> </w:t>
      </w:r>
      <w:r>
        <w:t xml:space="preserve">FMP consumes the outputs of Microsoft’s native tools and provides the governance fabric that connects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Key Finding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Microsoft’s tools collectively cover approximately</w:t>
            </w:r>
            <w:r>
              <w:t xml:space="preserve"> </w:t>
            </w:r>
            <w:r>
              <w:rPr>
                <w:b/>
                <w:bCs/>
              </w:rPr>
              <w:t xml:space="preserve">30%</w:t>
            </w:r>
            <w:r>
              <w:t xml:space="preserve"> </w:t>
            </w:r>
            <w:r>
              <w:t xml:space="preserve">of what the FMP Assessment Module captures in raw technical discovery. The remaining</w:t>
            </w:r>
            <w:r>
              <w:t xml:space="preserve"> </w:t>
            </w:r>
            <w:r>
              <w:rPr>
                <w:b/>
                <w:bCs/>
              </w:rPr>
              <w:t xml:space="preserve">70%</w:t>
            </w:r>
            <w:r>
              <w:t xml:space="preserve"> </w:t>
            </w:r>
            <w:r>
              <w:t xml:space="preserve">of the discovery surface — OU hierarchy, DNS, PKI health, trusts, delegation — plus governance provenance, canonical artifact management, drift detection, cross-domain correlation, and pipeline orchestration is where FMP provides unique value. When governance requirements are factored in, Microsoft’s effective coverage drops to approximately</w:t>
            </w:r>
            <w:r>
              <w:t xml:space="preserve"> </w:t>
            </w:r>
            <w:r>
              <w:rPr>
                <w:b/>
                <w:bCs/>
              </w:rPr>
              <w:t xml:space="preserve">22%</w:t>
            </w:r>
            <w:r>
              <w:t xml:space="preserve"> </w:t>
            </w:r>
            <w:r>
              <w:t xml:space="preserve">of the total FMP assessment surface. These percentages are illustrative estimates derived from this paper’s own domain coverage matrix (Section 4); the canonical gap doctrine deliberately carries no coverage percentages.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ILLUSTRATIVE — replace before external release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30% / 22% figures above are derived from the domain coverage matrix in Section 4, not from a single reproducible assessment run. Before external release, replace this block with a worked example that anchors the headline number in an actual (or representative) assessment: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Applied to a representative</w:t>
            </w:r>
            <w:r>
              <w:t xml:space="preserve"> </w:t>
            </w:r>
            <w:r>
              <w:rPr>
                <w:rStyle w:val="VerbatimChar"/>
              </w:rPr>
              <w:t xml:space="preserve">[N]</w:t>
            </w:r>
            <w:r>
              <w:t xml:space="preserve">-object AD forest assessment run on</w:t>
            </w:r>
            <w:r>
              <w:t xml:space="preserve"> </w:t>
            </w:r>
            <w:r>
              <w:rPr>
                <w:rStyle w:val="VerbatimChar"/>
              </w:rPr>
              <w:t xml:space="preserve">[date]</w:t>
            </w:r>
            <w:r>
              <w:t xml:space="preserve">, Microsoft’s native tooling (the tools inventoried in Section 2) surfaced</w:t>
            </w:r>
            <w:r>
              <w:t xml:space="preserve"> </w:t>
            </w:r>
            <w:r>
              <w:rPr>
                <w:rStyle w:val="VerbatimChar"/>
              </w:rPr>
              <w:t xml:space="preserve">[X]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r>
              <w:rPr>
                <w:rStyle w:val="VerbatimChar"/>
              </w:rPr>
              <w:t xml:space="preserve">[Y]</w:t>
            </w:r>
            <w:r>
              <w:t xml:space="preserve"> </w:t>
            </w:r>
            <w:r>
              <w:t xml:space="preserve">governance-relevant findings across the domains enumerated in §3’s capability matrix; FMP’s methodology, applied to the same forest, surfaced</w:t>
            </w:r>
            <w:r>
              <w:t xml:space="preserve"> </w:t>
            </w:r>
            <w:r>
              <w:rPr>
                <w:rStyle w:val="VerbatimChar"/>
              </w:rPr>
              <w:t xml:space="preserve">[X2]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w:r>
              <w:rPr>
                <w:rStyle w:val="VerbatimChar"/>
              </w:rPr>
              <w:t xml:space="preserve">[Y]</w:t>
            </w:r>
            <w:r>
              <w:t xml:space="preserve"> </w:t>
            </w:r>
            <w:r>
              <w:t xml:space="preserve">findings. The</w:t>
            </w:r>
            <w:r>
              <w:t xml:space="preserve"> </w:t>
            </w:r>
            <w:r>
              <w:rPr>
                <w:rStyle w:val="VerbatimChar"/>
              </w:rPr>
              <w:t xml:space="preserve">[Y]</w:t>
            </w:r>
            <w:r>
              <w:t xml:space="preserve"> </w:t>
            </w:r>
            <w:r>
              <w:t xml:space="preserve">findings should be enumerated (or referenced) so the count is auditable, and</w:t>
            </w:r>
            <w:r>
              <w:t xml:space="preserve"> </w:t>
            </w:r>
            <w:r>
              <w:rPr>
                <w:rStyle w:val="VerbatimChar"/>
              </w:rPr>
              <w:t xml:space="preserve">[X]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[X2]</w:t>
            </w:r>
            <w:r>
              <w:t xml:space="preserve"> </w:t>
            </w:r>
            <w:r>
              <w:t xml:space="preserve">should map back to specific rows of the §3 matrix so a reader can verify which findings each tooling approach did and did not surface.</w:t>
            </w:r>
          </w:p>
          <w:p/>
        </w:tc>
      </w:tr>
    </w:tbl>
    <w:bookmarkEnd w:id="20"/>
    <w:bookmarkStart w:id="34" w:name="the-microsoft-native-tool-landscape"/>
    <w:p>
      <w:pPr>
        <w:pStyle w:val="Heading2"/>
      </w:pPr>
      <w:r>
        <w:t xml:space="preserve">2. The Microsoft Native Tool Landscape</w:t>
      </w:r>
    </w:p>
    <w:p>
      <w:pPr>
        <w:pStyle w:val="FirstParagraph"/>
      </w:pPr>
      <w:r>
        <w:t xml:space="preserve">The following inventory catalogs every Microsoft tool that touches Active Directory assessment, migration, or modernization. For each tool, we document its current status, capabilities, limitations, licensing requirements, and output format — with specific attention to governance pipeline compatibility. Product statuses and version details in this inventory reflect the June–July 2026 snapshot and move quickly; verify current status before relying on any individual entry.</w:t>
      </w:r>
    </w:p>
    <w:bookmarkStart w:id="21" w:name="X047d921719b026272b05ad922de30bd32c98b91"/>
    <w:p>
      <w:pPr>
        <w:pStyle w:val="Heading3"/>
      </w:pPr>
      <w:r>
        <w:t xml:space="preserve">2.1 Microsoft Assessment and Planning (MAP) Toolkit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66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Effectively deprecated — Microsoft now recommends Azure Migrate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9.9.13 (July 2024, last update)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Agentless, automated multi-product planning and assessment. Hardware/software inventory, readiness reports, server virtualization planning.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 GPO analysis, no AD security assessment, no governance artifacts, no OU/delegation analysis, no DNS/PKI assessment.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 reports, Word proposals — no machine-readable pipeline output.</w:t>
            </w:r>
          </w:p>
        </w:tc>
      </w:tr>
    </w:tbl>
    <w:bookmarkEnd w:id="21"/>
    <w:bookmarkStart w:id="22" w:name="azure-migrate"/>
    <w:p>
      <w:pPr>
        <w:pStyle w:val="Heading3"/>
      </w:pPr>
      <w:r>
        <w:t xml:space="preserve">2.2 Azure Migrate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68"/>
        <w:gridCol w:w="675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regularly updated (March 2026 latest)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Server/VM/SQL/web app discovery and assessment, dependency mapping, cost projections, readiness scoring, migration execution for VMs and databases.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 AD forest topology analysis, no GPO inventory, no OU structure analysis, no DNS zone assessment, no PKI/ADCS assessment, no user/group governance analysis, no trust mapping.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(Azure subscription required)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portal dashboards, downloadable reports — no Git-compatible structured output.</w:t>
            </w:r>
          </w:p>
        </w:tc>
      </w:tr>
    </w:tbl>
    <w:bookmarkEnd w:id="22"/>
    <w:bookmarkStart w:id="24" w:name="group-policy-analytics-intune"/>
    <w:p>
      <w:pPr>
        <w:pStyle w:val="Heading3"/>
      </w:pPr>
      <w:r>
        <w:t xml:space="preserve">2.3 Group Policy Analytics (Intune)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08"/>
        <w:gridCol w:w="701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GA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GPO XML exports, analyze MDM support percentage, identify deprecated/unsupported settings, migrate supported settings to Settings Catalog policies.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annot export ALL GPO settings — only analyzes Windows 10/11 device policies. No server GPO analysis. No GPO link/scope analysis. No WMI filter assessment. No cross-GPO conflict detection. No governance tracking of migration status.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Intune license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Intune portal only — no bulk export, no machine-readable pipeline output.</w:t>
            </w:r>
          </w:p>
        </w:tc>
      </w:tr>
    </w:tbl>
    <w:p>
      <w:pPr>
        <w:pStyle w:val="BodyText"/>
      </w:pPr>
      <w:r>
        <w:t xml:space="preserve">For the governance lens on what this tool’s ~30–60% support percentage actually</w:t>
      </w:r>
      <w:r>
        <w:t xml:space="preserve"> </w:t>
      </w:r>
      <w:r>
        <w:rPr>
          <w:i/>
          <w:iCs/>
        </w:rPr>
        <w:t xml:space="preserve">costs</w:t>
      </w:r>
      <w:r>
        <w:t xml:space="preserve"> </w:t>
      </w:r>
      <w:r>
        <w:t xml:space="preserve">— the policy-plane capabilities lost in the GPO-to-Intune shift — see</w:t>
      </w:r>
      <w:r>
        <w:t xml:space="preserve"> </w:t>
      </w:r>
      <w:hyperlink r:id="rId23">
        <w:r>
          <w:rPr>
            <w:rStyle w:val="Hyperlink"/>
          </w:rPr>
          <w:t xml:space="preserve">GPO-to-Cloud Governance Gaps</w:t>
        </w:r>
      </w:hyperlink>
      <w:r>
        <w:t xml:space="preserve">.</w:t>
      </w:r>
    </w:p>
    <w:bookmarkEnd w:id="24"/>
    <w:bookmarkStart w:id="25" w:name="microsoft-entra-connect-cloud-sync"/>
    <w:p>
      <w:pPr>
        <w:pStyle w:val="Heading3"/>
      </w:pPr>
      <w:r>
        <w:t xml:space="preserve">2.4 Microsoft Entra Connect / Cloud Sync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6"/>
        <w:gridCol w:w="686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(Cloud Sync is the recommended future direction)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Synchronizes identities (users, groups, devices) from on-premises AD to Entra ID. Password hash sync, pass-through auth, federation. Health monitoring via Entra Connect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 an assessment tool — it is a sync engine. No OU analysis, no GPO analysis, no DNS/PKI assessment, no security posture evaluation. Connect Health monitors sync health, not AD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Entra ID P1 (Connect Health requires P1 or P2)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Sync logs, health alerts — no structured assessment output.</w:t>
            </w:r>
          </w:p>
        </w:tc>
      </w:tr>
    </w:tbl>
    <w:bookmarkEnd w:id="25"/>
    <w:bookmarkStart w:id="26" w:name="microsoft-defender-for-identity"/>
    <w:p>
      <w:pPr>
        <w:pStyle w:val="Heading3"/>
      </w:pPr>
      <w:r>
        <w:t xml:space="preserve">2.5 Microsoft Defender for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79"/>
        <w:gridCol w:w="71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continuously updated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posture assessments via Microsoft Secure Score. Detects misconfigurations: unsecured SID History, weak cipher usage, dormant entities, insecure Kerberos delegation, LDAP signing, NTLM exposure, AdminSDHolder, print spooler risks. Real-time threat detection (credential theft, lateral movement, privilege escalation).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 a comprehensive AD inventory tool. No forest topology export. No OU hierarchy analysis. No GPO inventory. No DNS zone assessment. No PKI/ADCS template analysis. No trust analysis. Security-focused only — no migration readiness assessment. No structured export for governance pipelines.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E5 Security or Defender for Identity standalone license (expensive)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Score dashboard, alerts — no JSON/CSV structured export for automation.</w:t>
            </w:r>
          </w:p>
        </w:tc>
      </w:tr>
    </w:tbl>
    <w:bookmarkEnd w:id="26"/>
    <w:bookmarkStart w:id="27" w:name="Xed8c7fd32c729595f9ce9fec5c505b080ae7aef"/>
    <w:p>
      <w:pPr>
        <w:pStyle w:val="Heading3"/>
      </w:pPr>
      <w:r>
        <w:t xml:space="preserve">2.6 Microsoft Security Compliance Toolkit (SCT)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08"/>
        <w:gridCol w:w="701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updated February 2026 (Windows Server 2025 baseline added)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 Analyzer compares GPOs against Microsoft security baselines. LGPO applies/exports local policy. SetObjectSecurity manages permissions. Provides Windows 10/11, Server 2022/2025, Edge, M365 Apps baselines.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aseline comparison only — not a full GPO inventory tool. No OU analysis, no DNS, no PKI, no computer inventory, no user/group analysis, no trust mapping. Manual process — no automation pipeline. Windows GPOs only — no cross-platform.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 comparison, GPO backup format — no structured JSON/API output.</w:t>
            </w:r>
          </w:p>
        </w:tc>
      </w:tr>
    </w:tbl>
    <w:bookmarkEnd w:id="27"/>
    <w:bookmarkStart w:id="28" w:name="active-directory-migration-tool-admt"/>
    <w:p>
      <w:pPr>
        <w:pStyle w:val="Heading3"/>
      </w:pPr>
      <w:r>
        <w:t xml:space="preserve">2.7 Active Directory Migration Tool (ADMT)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38"/>
        <w:gridCol w:w="688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Legacy, last major update for Server 2008 R2, still functions on newer servers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Migrates AD objects (users, groups, computers) between domains/forests. SID history translation, password migration (PES), group membership preservation.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 an assessment tool. No discovery, no inventory, no analysis. Requires Domain Admin in target, BUILTIN\Administrators in source. No GPO migration. No DNS migration. No PKI migration. SQL Server dependency.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Migration logs — no assessment artifacts.</w:t>
            </w:r>
          </w:p>
        </w:tc>
      </w:tr>
    </w:tbl>
    <w:bookmarkEnd w:id="28"/>
    <w:bookmarkStart w:id="29" w:name="microsoft-fasttrack"/>
    <w:p>
      <w:pPr>
        <w:pStyle w:val="Heading3"/>
      </w:pPr>
      <w:r>
        <w:t xml:space="preserve">2.8 Microsoft FastTrack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38"/>
        <w:gridCol w:w="688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service (not a tool)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deployment guidance for Entra ID P1/P2, Conditional Access, MFA, PIM, Access Reviews, Lifecycle Workflows, Application Proxy, B2B, and Identity Governance. Provides architectural guidance and best practices.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 an assessment tool. Does not discover or inventory AD environments. Does not produce assessment artifacts. Guidance-only — no automation, no scripts, no structured output. Requires 150+ paid seats.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with qualifying M365/E5 licenses (150+ seats)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Guidance documents — no machine-readable output.</w:t>
            </w:r>
          </w:p>
        </w:tc>
      </w:tr>
    </w:tbl>
    <w:bookmarkEnd w:id="29"/>
    <w:bookmarkStart w:id="30" w:name="entra-connect-health"/>
    <w:p>
      <w:pPr>
        <w:pStyle w:val="Heading3"/>
      </w:pPr>
      <w:r>
        <w:t xml:space="preserve">2.9 Entra Connect Health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6"/>
        <w:gridCol w:w="686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Monitors sync health (Entra Connect), AD FS health, AD DS health. Alerts on sync failures, risky IP addresses, extranet lockouts, failed authentications against DCs.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ealth monitoring only — not an assessment tool. No inventory, no GPO analysis, no OU analysis, no DNS, no PKI, no trust analysis. Requires agent installation on each DC being monitored.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Entra ID P1 or P2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Portal dashboards, email alerts — no structured export.</w:t>
            </w:r>
          </w:p>
        </w:tc>
      </w:tr>
    </w:tbl>
    <w:bookmarkEnd w:id="30"/>
    <w:bookmarkStart w:id="31" w:name="Xa746acc1a9b015a05d3e14f76f6faad924f5960"/>
    <w:p>
      <w:pPr>
        <w:pStyle w:val="Heading3"/>
      </w:pPr>
      <w:r>
        <w:t xml:space="preserve">2.10 Microsoft Entra Health Monitoring (Preview)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52"/>
        <w:gridCol w:w="6468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Preview (as of April 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Tenant-level health signals, SLA attainment reporting, anomaly detection for authentication patterns.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loud-side only — no on-premises AD assessment. No forest/OU/GPO/DNS/PKI analysis. Tenant health, not migration readiness.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with Entra 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Portal only.</w:t>
            </w:r>
          </w:p>
        </w:tc>
      </w:tr>
    </w:tbl>
    <w:bookmarkEnd w:id="31"/>
    <w:bookmarkStart w:id="32" w:name="X36371ea4710a7ca8c42330e2ec1dafcfa0ac636"/>
    <w:p>
      <w:pPr>
        <w:pStyle w:val="Heading3"/>
      </w:pPr>
      <w:r>
        <w:t xml:space="preserve">2.11 Azure Policy / Azure Arc Guest Configuration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6"/>
        <w:gridCol w:w="686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GA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assessment for Azure and Arc-enrolled servers. Guest Configuration can audit OS settings, registry, files, services. Built-in policy definitions for Windows security baselines.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equires Azure Arc enrollment first — not pre-migration assessment. No AD-specific analysis (no OU, GPO, trust, forest topology). Policy compliance, not discovery/inventory.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(basic), Azure Arc license for servers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Policy compliance dashboard, Resource Graph queries — structured but Azure-only.</w:t>
            </w:r>
          </w:p>
        </w:tc>
      </w:tr>
    </w:tbl>
    <w:bookmarkEnd w:id="32"/>
    <w:bookmarkStart w:id="33" w:name="powershell-ad-module-rsat"/>
    <w:p>
      <w:pPr>
        <w:pStyle w:val="Heading3"/>
      </w:pPr>
      <w:r>
        <w:t xml:space="preserve">2.12 PowerShell AD Module + RSAT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08"/>
        <w:gridCol w:w="701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Active, shipping with Server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programmatic access to AD — the same cmdlets FMP uses. Get-ADForest, Get-ADDomain, Get-GPO, Get-GPOReport, Get-ADComputer, Get-ADUser, Get-ADGroup, Get-DnsServerZone, etc.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Doesn’t Do</w:t>
            </w:r>
            <w:r>
              <w:t xml:space="preserve"> </w:t>
            </w: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 building blocks, not a solution. No orchestration, no structured output pipeline, no governance framework, no drift detection, no reporting, no Gitea integration. Every organization must build their own assessment from scratch.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(included with RSAT)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Output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PowerShell objects — whatever you build.</w:t>
            </w:r>
          </w:p>
        </w:tc>
      </w:tr>
    </w:tbl>
    <w:bookmarkEnd w:id="33"/>
    <w:bookmarkEnd w:id="34"/>
    <w:bookmarkStart w:id="35" w:name="the-capability-matrix"/>
    <w:p>
      <w:pPr>
        <w:pStyle w:val="Heading2"/>
      </w:pPr>
      <w:r>
        <w:t xml:space="preserve">3. The Capability Matrix</w:t>
      </w:r>
    </w:p>
    <w:p>
      <w:pPr>
        <w:pStyle w:val="FirstParagraph"/>
      </w:pPr>
      <w:r>
        <w:t xml:space="preserve">The following matrix maps every FMP assessment domain against the Microsoft tools that provide coverage, the level of that coverage, and the specific gap description.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37"/>
        <w:gridCol w:w="1856"/>
        <w:gridCol w:w="2351"/>
        <w:gridCol w:w="495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Assessment Domain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Assessment Module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Tool(s) That Cover 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Coverage Level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Gap 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Forest Topology</w:t>
            </w:r>
            <w:r>
              <w:t xml:space="preserve"> </w:t>
            </w:r>
            <w:r>
              <w:t xml:space="preserve">(domains, DCs, functional levels, FSMO roles, sites, subnets)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JSON export via Invoke-FMPADAssessment. Structured, versioned, Git-committed.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PowerShell RSAT (raw cmdlets); Azure Migrate (server discovery, not AD topology); Defender for Identity (monitors DCs, doesn’t export topology)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*Partial** 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 Microsoft tool produces a structured, versioned forest topology artifact suitable for governance tracking.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 Hierarchy &amp; Delegation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recursive tree with GPO links, object counts, delegation ACLs.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None. ADMT reads OUs for migration but doesn’t assess them.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*None**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omplete gap. Organizations must manually document OU structure.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GPO Inventory &amp; Settings Decomposition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inventory via Get-GPOReport XML, link analysis, WMI filter mapping, conflict detection, unlinked/empty GPO identification, backup.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Policy Analytics (Intune) — Windows 10/11 client MDM subset. SCT PolicyAnalyzer — baseline comparison only.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Microsoft tool provides cross-GPO conflict detection, scope analysis, WMI filter correlation, or structured GPO inventory for governance.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DNS Zone &amp; Record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zone inventory, record enumeration, DNSSEC status, stale record detection, scavenging config, SRV 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None. Azure DNS is cloud-only.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gap. DNS assessment is entirely custom.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PKI/ADCS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 discovery, template inventory, ESC1–ESC8 vulnerability patterns, CRL/AIA/OCSP, auto-enrollment config.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— detects some ADCS misconfigurations (ESC patterns) via Secure Score. No comprehensive template inventory or PKI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covers security findings but not operational PKI health or migration readiness.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Computer Object Inventory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extraction with OS classification, stale detection, SPN inventory, delegation analysis, LAPS/BitLocker detection.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Migrate (server discovery with OS/hardware). MAP Toolkit (deprecated, similar).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 inventory exists; AD-specific computer governance attributes (delegation, SPNs, group memberships) do not.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User &amp; Group Inventory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Privileged user identification, AdminSDHolder analysis, service account detection (MSA/gMSA), circular nesting, Kerberoastable SPNs.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(dormant entities, privileged account risks, Kerberoast exposure). Entra Connect (syncs users/groups).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findings exist; comprehensive user/group governance inventory does not.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Trust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Direction/type analysis, SID filtering status, selective authentication, cross-forest enumeration.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None. Defender for Identity detects some trust-related attacks but doesn’t inventory/analyze trusts.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*None**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omplete gap.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ACL/Delegation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OU-level delegation audit, AdminSDHolder capture, dangerous permission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— detects some dangerous delegations. No comprehensive ACL export or analysis tool.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alerting exists; comprehensive delegation audit does not.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Cross-Domain Correlation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Correlates findings across all 9 domains above into a unified assessment manifest.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None. Microsoft’s tools are completely siloed. GPO Analytics doesn’t know about Azure Migrate findings. Defender for Identity doesn’t correlate with DNS assessment. **N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one** 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plete gap. This is FMP’s primary unique value.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Governance Pipeline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→ JSON artifacts → Gitea commit → drift detection → remediation tracking → SLA enforcement.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None. Each tool has its own portal/dashboard. No Microsoft tool produces governance artifacts for a Git pipeline.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gap. This is the core of the FMP governance pipeline.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Drift Detection &amp; Continuous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Scheduled re-assessment with diff against baseline, Gitea-tracked changes, issue creation on drift.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(continuous security monitoring). Entra Connect Health (sync monitoring). Neither provides governance drift detection against a canonical desired state.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Partial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monitoring exists; governance drift detection does not.</w:t>
            </w:r>
          </w:p>
        </w:tc>
      </w:tr>
    </w:tbl>
    <w:bookmarkEnd w:id="35"/>
    <w:bookmarkStart w:id="38" w:name="the-gap-analysis-summary"/>
    <w:p>
      <w:pPr>
        <w:pStyle w:val="Heading2"/>
      </w:pPr>
      <w:r>
        <w:t xml:space="preserve">4. The Gap Analysis 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58"/>
        <w:gridCol w:w="1817"/>
        <w:gridCol w:w="1038"/>
        <w:gridCol w:w="350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Coverage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Coverage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Gap Owner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Infrastructure Discovery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70% (Azure Migrate + MAP)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Microsoft adequate for server inventory; FMP adds AD-specific attributes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GPO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 (Group Policy Analytics + SCT)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Microsoft covers MDM migration subset; FMP covers full GPO governance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Security Posture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60% (Defender for Identity)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Microsoft strong on threat detection; FMP adds governance correlation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DNS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FMP advantage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PKI/ADCS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 (Defender for Identity partial)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FMP significantly ahead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Trust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FMP advantage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 &amp; Delegation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FMP advantage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Cross-Domain Correlation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FMP’s core differentiator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Governance Pipeline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FMP’s fundamental value proposition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Drift Detection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 (security only)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FMP covers governance drift, not just security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Overall Assessment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Microsoft tools cover approximately</w:t>
            </w:r>
            <w:r>
              <w:t xml:space="preserve"> </w:t>
            </w:r>
            <w:r>
              <w:rPr>
                <w:b/>
                <w:bCs/>
              </w:rPr>
              <w:t xml:space="preserve">22%</w:t>
            </w:r>
            <w:r>
              <w:t xml:space="preserve"> </w:t>
            </w:r>
            <w:r>
              <w:t xml:space="preserve">of the total FMP assessment surface when governance pipeline, cross-correlation, and drift detection requirements are factored in (the unweighted average of all ten categories above). For pure technical discovery without governance, Microsoft covers approximately</w:t>
            </w:r>
            <w:r>
              <w:t xml:space="preserve"> </w:t>
            </w:r>
            <w:r>
              <w:rPr>
                <w:b/>
                <w:bCs/>
              </w:rPr>
              <w:t xml:space="preserve">30%</w:t>
            </w:r>
            <w:r>
              <w:t xml:space="preserve"> </w:t>
            </w:r>
            <w:r>
              <w:t xml:space="preserve">(the unweighted average of the seven discovery categories, excluding cross-domain correlation, governance pipeline, and drift detection). Both figures are illustrative estimates derived from this paper’s domain matrix, not canonical measurements.</w:t>
            </w:r>
          </w:p>
          <w:p/>
        </w:tc>
      </w:tr>
    </w:tbl>
    <w:bookmarkEnd w:id="38"/>
    <w:bookmarkStart w:id="43" w:name="third-party-tool-landscape"/>
    <w:p>
      <w:pPr>
        <w:pStyle w:val="Heading2"/>
      </w:pPr>
      <w:r>
        <w:t xml:space="preserve">5. Third-Party Tool Landscape</w:t>
      </w:r>
    </w:p>
    <w:p>
      <w:pPr>
        <w:pStyle w:val="FirstParagraph"/>
      </w:pPr>
      <w:r>
        <w:t xml:space="preserve">Beyond Microsoft’s native tools, several third-party solutions overlap with portions of FMP’s assessment capabilities. Understanding their strengths and limitations informs FMP’s positioning and integration strategy.</w:t>
      </w:r>
    </w:p>
    <w:bookmarkStart w:id="39" w:name="adrecon-open-source"/>
    <w:p>
      <w:pPr>
        <w:pStyle w:val="Heading3"/>
      </w:pPr>
      <w:r>
        <w:t xml:space="preserve">5.1 ADRecon (Open Source)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08"/>
        <w:gridCol w:w="701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PowerShell-based AD reconnaissance. Extracts forest, domain, trusts, sites, OUs, GPOs, DNS, users, groups, computers, SPNs, ACLs, LAPS, BitLocker. Generates Excel reports.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Overlap with FMP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HIGH</w:t>
            </w:r>
            <w:r>
              <w:t xml:space="preserve"> </w:t>
            </w:r>
            <w:r>
              <w:t xml:space="preserve">— ADRecon’s data collection scope is very similar to FMP’s assessment module.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FMP Adds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Governance pipeline (Gitea integration), machine-readable JSON output (not just Excel), drift detection, remediation tracking, SLA enforcement, canonical artifact management, modernization planning correlation.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Positioning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ADRecon is the closest open-source equivalent for data collection. FMP provides the governance layer above it.</w:t>
            </w:r>
          </w:p>
        </w:tc>
      </w:tr>
    </w:tbl>
    <w:bookmarkEnd w:id="39"/>
    <w:bookmarkStart w:id="40" w:name="pingcastle"/>
    <w:p>
      <w:pPr>
        <w:pStyle w:val="Heading3"/>
      </w:pPr>
      <w:r>
        <w:t xml:space="preserve">5.2 PingCastle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98"/>
        <w:gridCol w:w="662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 security health check with risk scoring. Analyzes configurations, detects insecure settings, generates HTML reports with risk levels.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Overlap with FMP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MODERATE</w:t>
            </w:r>
            <w:r>
              <w:t xml:space="preserve"> </w:t>
            </w:r>
            <w:r>
              <w:t xml:space="preserve">— security assessment overlap but PingCastle is security-focused, not governance-focused.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FMP Adds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Governance pipeline, migration planning, non-security assessment domains (DNS, PKI templates, OU design), cross-domain correlation.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Positioning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Complementary — PingCastle for security scoring, FMP for governance.</w:t>
            </w:r>
          </w:p>
        </w:tc>
      </w:tr>
    </w:tbl>
    <w:bookmarkEnd w:id="40"/>
    <w:bookmarkStart w:id="41" w:name="bloodhound-specterops"/>
    <w:p>
      <w:pPr>
        <w:pStyle w:val="Heading3"/>
      </w:pPr>
      <w:r>
        <w:t xml:space="preserve">5.3 BloodHound (SpecterOps)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28"/>
        <w:gridCol w:w="649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Attack path mapping using graph theory. Identifies privilege escalation paths, dangerous ACLs, Kerberoasting targets.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Overlap with FMP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LOW</w:t>
            </w:r>
            <w:r>
              <w:t xml:space="preserve"> </w:t>
            </w:r>
            <w:r>
              <w:t xml:space="preserve">— BloodHound is offensive security tooling, not governance.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FMP Adds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Everything except attack path visualization.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Positioning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Different purpose entirely. BloodHound for penetration testing, FMP for operational governance.</w:t>
            </w:r>
          </w:p>
        </w:tc>
      </w:tr>
    </w:tbl>
    <w:bookmarkEnd w:id="41"/>
    <w:bookmarkStart w:id="42" w:name="purple-knight-semperis"/>
    <w:p>
      <w:pPr>
        <w:pStyle w:val="Heading3"/>
      </w:pPr>
      <w:r>
        <w:t xml:space="preserve">5.4 Purple Knight (Semperis)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16"/>
        <w:gridCol w:w="620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Attribute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It Does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 security assessment with 150+ security indicators. Pre/post-migration security validation.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Overlap with FMP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MODERATE</w:t>
            </w:r>
            <w:r>
              <w:t xml:space="preserve"> </w:t>
            </w:r>
            <w:r>
              <w:t xml:space="preserve">— security indicator overlap.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What FMP Adds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Governance pipeline, migration planning, operational assessment domains.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Positioning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Complementary.</w:t>
            </w:r>
          </w:p>
        </w:tc>
      </w:tr>
    </w:tbl>
    <w:bookmarkEnd w:id="42"/>
    <w:bookmarkEnd w:id="43"/>
    <w:bookmarkStart w:id="50" w:name="fmp-positioning-framework"/>
    <w:p>
      <w:pPr>
        <w:pStyle w:val="Heading2"/>
      </w:pPr>
      <w:r>
        <w:t xml:space="preserve">6. FMP Positioning Framework</w:t>
      </w:r>
    </w:p>
    <w:bookmarkStart w:id="47" w:name="the-orchestration-layer-pattern"/>
    <w:p>
      <w:pPr>
        <w:pStyle w:val="Heading3"/>
      </w:pPr>
      <w:r>
        <w:t xml:space="preserve">6.1 The Orchestration Layer Pattern</w:t>
      </w:r>
    </w:p>
    <w:p>
      <w:pPr>
        <w:pStyle w:val="FirstParagraph"/>
      </w:pPr>
      <w:r>
        <w:t xml:space="preserve">FMP operates as an orchestration layer that sits above Microsoft’s native tools, consuming their output and providing the governance fabric that connects them into a unified pipeline.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77"/>
        <w:gridCol w:w="2810"/>
        <w:gridCol w:w="383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Layer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Components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Role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Top Layer: Governance Outcomes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Dashboard, Migration Readiness Score, Drift Reports, Remediation Status, Owner Accountability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actionable intelligence that governance stakeholders consume. Evidence for ATO, compliance reporting, executive visibility.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Middle Layer: FMP Governance Pipeline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Module, Canonical Artifacts, Drift Detection, Remediation Pipeline, SLA Enforcement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orchestration engine that transforms raw tool output into governance-grade artifacts with provenance, version control, and accountability.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Bottom Layer: Microsoft Native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Migrate, Group Policy Analytics, Defender for Identity, Entra Connect, SCT, ADMT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 solutions that produce raw technical data. Excellent at their individual domains but disconnected from each other.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Metaphor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“Microsoft provides the instruments. FMP provides the orchestra.”</w:t>
            </w:r>
          </w:p>
          <w:p/>
        </w:tc>
      </w:tr>
    </w:tbl>
    <w:bookmarkEnd w:id="47"/>
    <w:bookmarkStart w:id="48" w:name="the-consumption-model"/>
    <w:p>
      <w:pPr>
        <w:pStyle w:val="Heading3"/>
      </w:pPr>
      <w:r>
        <w:t xml:space="preserve">6.2 The Consumption Model</w:t>
      </w:r>
    </w:p>
    <w:p>
      <w:pPr>
        <w:pStyle w:val="FirstParagraph"/>
      </w:pPr>
      <w:r>
        <w:t xml:space="preserve">FMP does not replace Microsoft’s tools — it consumes their output: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8"/>
        <w:gridCol w:w="54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Tool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Consumption Pattern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Azure Migrate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server discovery data as computer inventory supplement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Group Policy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Export MDM readiness percentages; feed into GPO migration tracker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Defender for 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Secure Score findings as security assessment overlay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Entra Connect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sync status into governance health dashboard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Compliance Toolkit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baseline comparisons into GPO compliance scoring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Azure Policy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 Arc-enrolled server compliance into drift detection</w:t>
            </w:r>
          </w:p>
        </w:tc>
      </w:tr>
    </w:tbl>
    <w:bookmarkEnd w:id="48"/>
    <w:bookmarkStart w:id="49" w:name="the-scuba-parallel"/>
    <w:p>
      <w:pPr>
        <w:pStyle w:val="Heading3"/>
      </w:pPr>
      <w:r>
        <w:t xml:space="preserve">6.3 The SCuBA Parallel</w:t>
      </w:r>
    </w:p>
    <w:p>
      <w:pPr>
        <w:pStyle w:val="FirstParagraph"/>
      </w:pPr>
      <w:r>
        <w:t xml:space="preserve">The explicit parallel between FMP’s two complementary orchestration relationships: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77"/>
        <w:gridCol w:w="3321"/>
        <w:gridCol w:w="3321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Dimension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SCuBA vs. CISA ScubaGear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AD Assessment vs. Microsoft Tools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Relationship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Complementary orchestration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Complementary orchestration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Tool Provides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compliance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discovery/assessment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Provides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Canonical desired state, drift detection, remediation orchestration, SLA enforcement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Canonical desired state, drift detection, remediation orchestration, SLA enforcement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Pipeline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ScubaGear JSON → FMP governance artifacts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PowerShell/API JSON → FMP governance artifacts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Unique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Machine-trackable governance provenance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Machine-trackable governance provenance</w:t>
            </w:r>
          </w:p>
        </w:tc>
      </w:tr>
    </w:tbl>
    <w:bookmarkEnd w:id="49"/>
    <w:bookmarkEnd w:id="50"/>
    <w:bookmarkStart w:id="51" w:name="what-fmp-should-consume-vs.-build"/>
    <w:p>
      <w:pPr>
        <w:pStyle w:val="Heading2"/>
      </w:pPr>
      <w:r>
        <w:t xml:space="preserve">7. What FMP Should Consume vs. Build</w:t>
      </w:r>
    </w:p>
    <w:p>
      <w:pPr>
        <w:pStyle w:val="FirstParagraph"/>
      </w:pPr>
      <w:r>
        <w:t xml:space="preserve">Strategic recommendations for each assessment domain — whether FMP should consume existing Microsoft tool output or build its own capability: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58"/>
        <w:gridCol w:w="2337"/>
        <w:gridCol w:w="402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Assessment Domain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Recommendation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Server Inventory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CONSUME</w:t>
            </w:r>
            <w:r>
              <w:t xml:space="preserve"> </w:t>
            </w:r>
            <w:r>
              <w:t xml:space="preserve">Azure Migrate output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Migrate is superior for hardware/VM discovery. No need to rebuild.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GPO MDM Readiness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CONSUME</w:t>
            </w:r>
            <w:r>
              <w:t xml:space="preserve"> </w:t>
            </w:r>
            <w:r>
              <w:t xml:space="preserve">Group Policy Analytics output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Built into Intune, already does MDM mapping well.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Posture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CONSUME</w:t>
            </w:r>
            <w:r>
              <w:t xml:space="preserve"> </w:t>
            </w:r>
            <w:r>
              <w:t xml:space="preserve">Defender for Identity findings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E5 customers already have this; supplement with FMP’s broader assessment.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Baselines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CONSUME</w:t>
            </w:r>
            <w:r>
              <w:t xml:space="preserve"> </w:t>
            </w:r>
            <w:r>
              <w:t xml:space="preserve">SCT PolicyAnalyzer output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Free, well-maintained, authoritative.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Forest Topology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Microsoft tool covers this. Zero overlap.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 Hierarchy &amp; Delegation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Microsoft tool covers this. Zero overlap.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GPO Full Inventory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Policy Analytics only covers client MDM subset.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DNS Assessment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Microsoft tool covers this. Zero overlap.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PKI/ADCS Assessment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Defender for Identity covers security subset only.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Trust Analysis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Microsoft tool covers this. Zero overlap.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Cross-Domain Correlation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is FMP’s core differentiator.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Governance Pipeline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is FMP’s fundamental value proposition.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Drift Detection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BUILD</w:t>
            </w:r>
            <w:r>
              <w:t xml:space="preserve"> </w:t>
            </w:r>
            <w:r>
              <w:t xml:space="preserve">in FMP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drift monitoring exists; governance drift does not.</w:t>
            </w:r>
          </w:p>
        </w:tc>
      </w:tr>
    </w:tbl>
    <w:bookmarkEnd w:id="51"/>
    <w:bookmarkStart w:id="55" w:name="competitive-messaging"/>
    <w:p>
      <w:pPr>
        <w:pStyle w:val="Heading2"/>
      </w:pPr>
      <w:r>
        <w:t xml:space="preserve">8. Competitive Messaging</w:t>
      </w:r>
    </w:p>
    <w:bookmarkStart w:id="52" w:name="for-vcs-and-analysts"/>
    <w:p>
      <w:pPr>
        <w:pStyle w:val="Heading3"/>
      </w:pPr>
      <w:r>
        <w:t xml:space="preserve">8.1 For VCs and Analysts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“Microsoft provides 12 assessment tools that each solve a piece of the AD modernization puzzle. But no organization can build a governance program from 12 disconnected dashboards. The FMP governance pipeline is the canonical layer that ties them together — consuming their outputs, tracking drift against desired state, enforcing SLAs, and giving every governance artifact a machine-trackable provenance chain. We’re not competing with Microsoft’s tools. We’re making them useful for governance.”</w:t>
            </w:r>
          </w:p>
        </w:tc>
      </w:tr>
    </w:tbl>
    <w:bookmarkEnd w:id="52"/>
    <w:bookmarkStart w:id="53" w:name="for-federal-customers"/>
    <w:p>
      <w:pPr>
        <w:pStyle w:val="Heading3"/>
      </w:pPr>
      <w:r>
        <w:t xml:space="preserve">8.2 For Federal Customers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“Your ATO process requires evidence that every configuration change is tracked, every deviation is detected, and every remediation is time-bound. Microsoft’s tools produce excellent technical data. FMP transforms that data into the compliance evidence your assessors need — version-controlled in Git, traceable to canonical policy, and auditable end-to-end.”</w:t>
            </w:r>
          </w:p>
        </w:tc>
      </w:tr>
    </w:tbl>
    <w:bookmarkEnd w:id="53"/>
    <w:bookmarkStart w:id="54" w:name="for-legacy-engineers"/>
    <w:p>
      <w:pPr>
        <w:pStyle w:val="Heading3"/>
      </w:pPr>
      <w:r>
        <w:t xml:space="preserve">8.3 For Legacy Engineers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“You know PowerShell. You know AD. You’ve probably built your own assessment scripts. FMP standardizes what you’ve been doing ad hoc — same PowerShell, same RSAT cmdlets, but with structured JSON output, automatic Gitea commits, drift detection, and a governance pipeline that makes your assessment work reusable and auditable.”</w:t>
            </w:r>
          </w:p>
        </w:tc>
      </w:tr>
    </w:tbl>
    <w:bookmarkEnd w:id="54"/>
    <w:bookmarkEnd w:id="55"/>
    <w:bookmarkStart w:id="58" w:name="integration-architecture"/>
    <w:p>
      <w:pPr>
        <w:pStyle w:val="Heading2"/>
      </w:pPr>
      <w:r>
        <w:t xml:space="preserve">9. Integration Architecture</w:t>
      </w:r>
    </w:p>
    <w:bookmarkStart w:id="56" w:name="import-adapters-implemented"/>
    <w:p>
      <w:pPr>
        <w:pStyle w:val="Heading3"/>
      </w:pPr>
      <w:r>
        <w:t xml:space="preserve">9.1 Import Adapters (Implemented)</w:t>
      </w:r>
    </w:p>
    <w:p>
      <w:pPr>
        <w:pStyle w:val="FirstParagraph"/>
      </w:pPr>
      <w:r>
        <w:t xml:space="preserve">The import adapters described conceptually in earlier revisions of this paper are now implemented as the</w:t>
      </w:r>
      <w:r>
        <w:t xml:space="preserve"> </w:t>
      </w:r>
      <w:r>
        <w:rPr>
          <w:b/>
          <w:bCs/>
        </w:rPr>
        <w:t xml:space="preserve">FMPImportAdapters</w:t>
      </w:r>
      <w:r>
        <w:t xml:space="preserve"> </w:t>
      </w:r>
      <w:r>
        <w:t xml:space="preserve">PowerShell module (</w:t>
      </w:r>
      <w:r>
        <w:rPr>
          <w:rStyle w:val="VerbatimChar"/>
        </w:rPr>
        <w:t xml:space="preserve">tools/powershell/FMPImportAdapters/</w:t>
      </w:r>
      <w:r>
        <w:t xml:space="preserve">, shipped as</w:t>
      </w:r>
      <w:r>
        <w:t xml:space="preserve"> </w:t>
      </w:r>
      <w:r>
        <w:rPr>
          <w:rStyle w:val="VerbatimChar"/>
        </w:rPr>
        <w:t xml:space="preserve">.psd1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.psm1</w:t>
      </w:r>
      <w:r>
        <w:t xml:space="preserve"> </w:t>
      </w:r>
      <w:r>
        <w:t xml:space="preserve">with Pester tests wired into CI), governed by the canon specification</w:t>
      </w:r>
      <w:r>
        <w:t xml:space="preserve"> </w:t>
      </w:r>
      <w:r>
        <w:rPr>
          <w:b/>
          <w:bCs/>
        </w:rPr>
        <w:t xml:space="preserve">FMP_182</w:t>
      </w:r>
      <w:r>
        <w:t xml:space="preserve"> </w:t>
      </w:r>
      <w:r>
        <w:t xml:space="preserve">and positioned by ADR-094 as a producer in the assessment-to-plan toolchain. The module normalizes heterogeneous third-party assessment output into the FMP schema so that downstream correlation, drift detection, and plan generation operate over one canonical assessment shape rather than vendor-specific exports.</w:t>
      </w:r>
    </w:p>
    <w:p>
      <w:pPr>
        <w:pStyle w:val="BodyText"/>
      </w:pPr>
      <w:r>
        <w:t xml:space="preserve">The architectural contract is deliberately file-path-based: every importer consumes an already-produced report via</w:t>
      </w:r>
      <w:r>
        <w:t xml:space="preserve"> </w:t>
      </w:r>
      <w:r>
        <w:rPr>
          <w:rStyle w:val="VerbatimChar"/>
        </w:rPr>
        <w:t xml:space="preserve">-ReportPath</w:t>
      </w:r>
      <w:r>
        <w:t xml:space="preserve"> </w:t>
      </w:r>
      <w:r>
        <w:t xml:space="preserve">and writes normalized JSON via</w:t>
      </w:r>
      <w:r>
        <w:t xml:space="preserve"> </w:t>
      </w:r>
      <w:r>
        <w:rPr>
          <w:rStyle w:val="VerbatimChar"/>
        </w:rPr>
        <w:t xml:space="preserve">-OutputPath</w:t>
      </w:r>
      <w:r>
        <w:t xml:space="preserve">.</w:t>
      </w:r>
      <w:r>
        <w:t xml:space="preserve"> </w:t>
      </w:r>
      <w:r>
        <w:rPr>
          <w:b/>
          <w:bCs/>
        </w:rPr>
        <w:t xml:space="preserve">The module never reaches a live API.</w:t>
      </w:r>
      <w:r>
        <w:t xml:space="preserve"> </w:t>
      </w:r>
      <w:r>
        <w:t xml:space="preserve">An operator (or another tool) exports the report from Azure Migrate, Intune, Defender for Identity, ScubaGear, or ADRecon; the adapter ingests the exported file. This keeps the ingestion surface read-only, credential-free, and auditable within the M365 GCC-Moderate boundary.</w:t>
      </w:r>
    </w:p>
    <w:p>
      <w:pPr>
        <w:pStyle w:val="BodyText"/>
      </w:pPr>
      <w:r>
        <w:t xml:space="preserve">The canonical function roster (per FMP_182):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Source Consumed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Normalized 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Import-FMPAzureMigrateReport</w:t>
            </w:r>
          </w:p>
        </w:tc>
        <w:tc>
          <w:tcPr/>
          <w:p>
            <w:pPr>
              <w:pStyle w:val="Compact"/>
            </w:pPr>
            <w:r>
              <w:t xml:space="preserve">Azure Migrate assessment export</w:t>
            </w:r>
          </w:p>
        </w:tc>
        <w:tc>
          <w:tcPr/>
          <w:p>
            <w:pPr>
              <w:pStyle w:val="Compact"/>
            </w:pPr>
            <w:r>
              <w:t xml:space="preserve">FMP ComputerInventory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Import-FMPGPOAnalyticsReport</w:t>
            </w:r>
          </w:p>
        </w:tc>
        <w:tc>
          <w:tcPr/>
          <w:p>
            <w:pPr>
              <w:pStyle w:val="Compact"/>
            </w:pPr>
            <w:r>
              <w:t xml:space="preserve">Intune Group Policy Analytics export</w:t>
            </w:r>
          </w:p>
        </w:tc>
        <w:tc>
          <w:tcPr/>
          <w:p>
            <w:pPr>
              <w:pStyle w:val="Compact"/>
            </w:pPr>
            <w:r>
              <w:t xml:space="preserve">GPOMigrationTracker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Import-FMPDefenderFindings</w:t>
            </w:r>
          </w:p>
        </w:tc>
        <w:tc>
          <w:tcPr/>
          <w:p>
            <w:pPr>
              <w:pStyle w:val="Compact"/>
            </w:pPr>
            <w:r>
              <w:t xml:space="preserve">Defender for Identity Secure Score export</w:t>
            </w:r>
          </w:p>
        </w:tc>
        <w:tc>
          <w:tcPr/>
          <w:p>
            <w:pPr>
              <w:pStyle w:val="Compact"/>
            </w:pPr>
            <w:r>
              <w:t xml:space="preserve">SecurityAssessment overlay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Import-FMPSCuBAReport</w:t>
            </w:r>
          </w:p>
        </w:tc>
        <w:tc>
          <w:tcPr/>
          <w:p>
            <w:pPr>
              <w:pStyle w:val="Compact"/>
            </w:pPr>
            <w:r>
              <w:t xml:space="preserve">CISA ScubaGear compliance output</w:t>
            </w:r>
          </w:p>
        </w:tc>
        <w:tc>
          <w:tcPr/>
          <w:p>
            <w:pPr>
              <w:pStyle w:val="Compact"/>
            </w:pPr>
            <w:r>
              <w:t xml:space="preserve">FMP conformance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Import-FMPADReconReport</w:t>
            </w:r>
          </w:p>
        </w:tc>
        <w:tc>
          <w:tcPr/>
          <w:p>
            <w:pPr>
              <w:pStyle w:val="Compact"/>
            </w:pPr>
            <w:r>
              <w:t xml:space="preserve">ADRecon Excel output</w:t>
            </w:r>
          </w:p>
        </w:tc>
        <w:tc>
          <w:tcPr/>
          <w:p>
            <w:pPr>
              <w:pStyle w:val="Compact"/>
            </w:pPr>
            <w:r>
              <w:t xml:space="preserve">FMP ComputerInventory / identity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Merge-FMPAssessmentSources</w:t>
            </w:r>
          </w:p>
        </w:tc>
        <w:tc>
          <w:tcPr/>
          <w:p>
            <w:pPr>
              <w:pStyle w:val="Compact"/>
            </w:pPr>
            <w:r>
              <w:t xml:space="preserve">Multiple normalized sources</w:t>
            </w:r>
          </w:p>
        </w:tc>
        <w:tc>
          <w:tcPr/>
          <w:p>
            <w:pPr>
              <w:pStyle w:val="Compact"/>
            </w:pPr>
            <w:r>
              <w:t xml:space="preserve">Correlated assessment bundle</w:t>
            </w:r>
          </w:p>
        </w:tc>
      </w:tr>
    </w:tbl>
    <w:p>
      <w:pPr>
        <w:pStyle w:val="BodyText"/>
      </w:pPr>
      <w:r>
        <w:t xml:space="preserve">SCT PolicyAnalyzer, Entra Connect Health, and Azure Policy compliance output remain candidates for future adapters; the consumption patterns in Section 6.2 describe where their exports would land.</w:t>
      </w:r>
    </w:p>
    <w:bookmarkEnd w:id="56"/>
    <w:bookmarkStart w:id="57" w:name="import-module-specification"/>
    <w:p>
      <w:pPr>
        <w:pStyle w:val="Heading3"/>
      </w:pPr>
      <w:r>
        <w:t xml:space="preserve">9.2 Import Module Specification</w:t>
      </w:r>
    </w:p>
    <w:p>
      <w:pPr>
        <w:pStyle w:val="FirstParagraph"/>
      </w:pPr>
      <w:r>
        <w:t xml:space="preserve">Each importer wraps its normalized records in a sealed provenance envelope (</w:t>
      </w:r>
      <w:r>
        <w:rPr>
          <w:rStyle w:val="VerbatimChar"/>
        </w:rPr>
        <w:t xml:space="preserve">schema: fmp.import.v1</w:t>
      </w:r>
      <w:r>
        <w:t xml:space="preserve">) whose provenance block carries: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source</w:t>
      </w:r>
      <w:r>
        <w:t xml:space="preserve"> </w:t>
      </w:r>
      <w:r>
        <w:t xml:space="preserve">— name of the third-party tool consumed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version</w:t>
      </w:r>
      <w:r>
        <w:t xml:space="preserve"> </w:t>
      </w:r>
      <w:r>
        <w:t xml:space="preserve">— source export version (recorded when supplied,</w:t>
      </w:r>
      <w:r>
        <w:t xml:space="preserve"> </w:t>
      </w:r>
      <w:r>
        <w:t xml:space="preserve">“unknown”</w:t>
      </w:r>
      <w:r>
        <w:t xml:space="preserve"> </w:t>
      </w:r>
      <w:r>
        <w:t xml:space="preserve">otherwise)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timestamp</w:t>
      </w:r>
      <w:r>
        <w:t xml:space="preserve"> </w:t>
      </w:r>
      <w:r>
        <w:t xml:space="preserve">— ISO 8601 UTC timestamp of import execution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content_hash</w:t>
      </w:r>
      <w:r>
        <w:t xml:space="preserve"> </w:t>
      </w:r>
      <w:r>
        <w:t xml:space="preserve">— integrity seal over the normalized data, computed by the canonical hasher so it is byte-identical to the Python</w:t>
      </w:r>
      <w:r>
        <w:t xml:space="preserve"> </w:t>
      </w:r>
      <w:r>
        <w:rPr>
          <w:rStyle w:val="VerbatimChar"/>
        </w:rPr>
        <w:t xml:space="preserve">canonical_hash</w:t>
      </w:r>
      <w:r>
        <w:t xml:space="preserve"> </w:t>
      </w:r>
      <w:r>
        <w:t xml:space="preserve">— making every imported artifact directly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-classifiable by</w:t>
      </w:r>
      <w:r>
        <w:t xml:space="preserve"> </w:t>
      </w:r>
      <w:r>
        <w:rPr>
          <w:rStyle w:val="VerbatimChar"/>
        </w:rPr>
        <w:t xml:space="preserve">src/fmp/governance/drift.py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source_file</w:t>
      </w:r>
      <w:r>
        <w:t xml:space="preserve"> </w:t>
      </w:r>
      <w:r>
        <w:t xml:space="preserve">— path of the ingested report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actor</w:t>
      </w:r>
      <w:r>
        <w:t xml:space="preserve">,</w:t>
      </w:r>
      <w:r>
        <w:t xml:space="preserve"> </w:t>
      </w:r>
      <w:r>
        <w:rPr>
          <w:b/>
          <w:bCs/>
        </w:rPr>
        <w:t xml:space="preserve">import_module</w:t>
      </w:r>
      <w:r>
        <w:t xml:space="preserve">,</w:t>
      </w:r>
      <w:r>
        <w:t xml:space="preserve"> </w:t>
      </w:r>
      <w:r>
        <w:rPr>
          <w:b/>
          <w:bCs/>
        </w:rPr>
        <w:t xml:space="preserve">import_module_version</w:t>
      </w:r>
      <w:r>
        <w:t xml:space="preserve"> </w:t>
      </w:r>
      <w:r>
        <w:t xml:space="preserve">— adapter identity for the provenance chain</w:t>
      </w:r>
    </w:p>
    <w:p>
      <w:pPr>
        <w:pStyle w:val="FirstParagraph"/>
      </w:pPr>
      <w:r>
        <w:rPr>
          <w:rStyle w:val="VerbatimChar"/>
        </w:rPr>
        <w:t xml:space="preserve">Merge-FMPAssessmentSources</w:t>
      </w:r>
      <w:r>
        <w:t xml:space="preserve"> </w:t>
      </w:r>
      <w:r>
        <w:t xml:space="preserve">correlates multiple normalized envelopes (</w:t>
      </w:r>
      <w:r>
        <w:rPr>
          <w:rStyle w:val="VerbatimChar"/>
        </w:rPr>
        <w:t xml:space="preserve">-SourcePaths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-MergeStrategy</w:t>
      </w:r>
      <w:r>
        <w:t xml:space="preserve">) into a single assessment bundle, validating each source’s provenance completeness and integrity seal first: an envelope that is incomplete, or whose hash no longer matches its data, is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 by definition (FMP_182).</w:t>
      </w:r>
    </w:p>
    <w:p>
      <w:pPr>
        <w:pStyle w:val="BodyText"/>
      </w:pPr>
      <w:r>
        <w:t xml:space="preserve">Outputs are FMP-schema JSON artifacts suitable as input to FMPPlanGenerators and as canon-anchored evidence through the FMP IR / OSCAL pipeline. Consistent with the program’s</w:t>
      </w:r>
      <w:r>
        <w:t xml:space="preserve"> </w:t>
      </w:r>
      <w:r>
        <w:rPr>
          <w:rStyle w:val="VerbatimChar"/>
        </w:rPr>
        <w:t xml:space="preserve">classification: Public</w:t>
      </w:r>
      <w:r>
        <w:t xml:space="preserve"> </w:t>
      </w:r>
      <w:r>
        <w:t xml:space="preserve">posture, the envelope carries provenance metadata rather than a classification marking; Authenticode signing occurs at release packaging.</w:t>
      </w:r>
    </w:p>
    <w:bookmarkEnd w:id="57"/>
    <w:bookmarkEnd w:id="58"/>
    <w:bookmarkStart w:id="62" w:name="conclusions-and-recommendations"/>
    <w:p>
      <w:pPr>
        <w:pStyle w:val="Heading2"/>
      </w:pPr>
      <w:r>
        <w:t xml:space="preserve">10. Conclusions and Recommendations</w:t>
      </w:r>
    </w:p>
    <w:bookmarkStart w:id="59" w:name="the-bottom-line"/>
    <w:p>
      <w:pPr>
        <w:pStyle w:val="Heading3"/>
      </w:pPr>
      <w:r>
        <w:t xml:space="preserve">10.1 The Bottom Line</w:t>
      </w:r>
    </w:p>
    <w:p>
      <w:pPr>
        <w:pStyle w:val="FirstParagraph"/>
      </w:pPr>
      <w:r>
        <w:t xml:space="preserve">Microsoft offers powerful but fragmented tools. FMP provides the governance fabric that connects them. The relationship is symbiotic: FMP is more valuable when it consumes Microsoft tool output, and Microsoft’s tools are more valuable when they feed into a governance pipeline.</w:t>
      </w:r>
    </w:p>
    <w:p>
      <w:pPr>
        <w:pStyle w:val="BodyText"/>
      </w:pPr>
      <w:r>
        <w:t xml:space="preserve">No single Microsoft tool — and no feasible combination of Microsoft tools without significant custom development — provides the unified, version-controlled, drift-detected, SLA-enforced governance pipeline that FMP delivers. This is not a criticism of Microsoft’s tools; it is a recognition that governance orchestration is a fundamentally different problem than point-solution assessment.</w:t>
      </w:r>
    </w:p>
    <w:bookmarkEnd w:id="59"/>
    <w:bookmarkStart w:id="60" w:name="strategic-recommendations"/>
    <w:p>
      <w:pPr>
        <w:pStyle w:val="Heading3"/>
      </w:pPr>
      <w:r>
        <w:t xml:space="preserve">10.2 Strategic Recommendations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Do not position FMP as competing with Microsoft’s tools</w:t>
      </w:r>
      <w:r>
        <w:t xml:space="preserve"> </w:t>
      </w:r>
      <w:r>
        <w:t xml:space="preserve">— the SCuBA pattern (complementary orchestration) is the correct positioning.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Route Microsoft and third-party tool output through the implemented FMPImportAdapters module</w:t>
      </w:r>
      <w:r>
        <w:t xml:space="preserve"> </w:t>
      </w:r>
      <w:r>
        <w:t xml:space="preserve">— Azure Migrate, Group Policy Analytics, Defender for Identity, ScubaGear, and ADRecon exports all normalize through its file-based importers (Section 9, canon FMP_182).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Maintain the PowerShell-first assessment module</w:t>
      </w:r>
      <w:r>
        <w:t xml:space="preserve"> </w:t>
      </w:r>
      <w:r>
        <w:t xml:space="preserve">— it provides the roughly 70% of technical discovery coverage that no Microsoft tool offers (OU, DNS, PKI, trusts, cross-correlation; an illustrative estimate per the Section 4 matrix).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Leverage Defender for Identity as a</w:t>
      </w:r>
      <w:r>
        <w:rPr>
          <w:b/>
          <w:bCs/>
        </w:rPr>
        <w:t xml:space="preserve"> </w:t>
      </w:r>
      <w:r>
        <w:rPr>
          <w:b/>
          <w:bCs/>
        </w:rPr>
        <w:t xml:space="preserve">“good enough”</w:t>
      </w:r>
      <w:r>
        <w:rPr>
          <w:b/>
          <w:bCs/>
        </w:rPr>
        <w:t xml:space="preserve"> </w:t>
      </w:r>
      <w:r>
        <w:rPr>
          <w:b/>
          <w:bCs/>
        </w:rPr>
        <w:t xml:space="preserve">security layer</w:t>
      </w:r>
      <w:r>
        <w:t xml:space="preserve"> </w:t>
      </w:r>
      <w:r>
        <w:t xml:space="preserve">— focus FMP’s unique value on governance, not security tooling.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Use ADRecon as a validation reference</w:t>
      </w:r>
      <w:r>
        <w:t xml:space="preserve"> </w:t>
      </w:r>
      <w:r>
        <w:t xml:space="preserve">— FMP’s data collection should produce at least everything ADRecon produces, plus governance metadata.</w:t>
      </w:r>
    </w:p>
    <w:bookmarkEnd w:id="60"/>
    <w:bookmarkStart w:id="61" w:name="engagement-channels"/>
    <w:p>
      <w:pPr>
        <w:pStyle w:val="Heading3"/>
      </w:pPr>
      <w:r>
        <w:t xml:space="preserve">10.3 Engagement Channels</w:t>
      </w:r>
    </w:p>
    <w:p>
      <w:pPr>
        <w:pStyle w:val="FirstParagraph"/>
      </w:pPr>
      <w:r>
        <w:t xml:space="preserve">The following channels should be used for communicating FMP’s positioning relative to Microsoft native tools:</w:t>
      </w:r>
    </w:p>
    <w:p>
      <w:pPr>
        <w:numPr>
          <w:ilvl w:val="0"/>
          <w:numId w:val="1003"/>
        </w:numPr>
      </w:pPr>
      <w:r>
        <w:t xml:space="preserve">FedRAMP CWGs (Rev5 and 20x)</w:t>
      </w:r>
    </w:p>
    <w:p>
      <w:pPr>
        <w:numPr>
          <w:ilvl w:val="0"/>
          <w:numId w:val="1003"/>
        </w:numPr>
      </w:pPr>
      <w:r>
        <w:t xml:space="preserve">FedRAMP RFCs</w:t>
      </w:r>
    </w:p>
    <w:p>
      <w:pPr>
        <w:numPr>
          <w:ilvl w:val="0"/>
          <w:numId w:val="1003"/>
        </w:numPr>
      </w:pPr>
      <w:r>
        <w:t xml:space="preserve">FSCAC/CISA direct engagement</w:t>
      </w:r>
    </w:p>
    <w:p>
      <w:pPr>
        <w:numPr>
          <w:ilvl w:val="0"/>
          <w:numId w:val="1003"/>
        </w:numPr>
      </w:pPr>
      <w:r>
        <w:t xml:space="preserve">Microsoft Partner ecosystem</w:t>
      </w:r>
    </w:p>
    <w:p>
      <w:pPr>
        <w:numPr>
          <w:ilvl w:val="0"/>
          <w:numId w:val="1003"/>
        </w:numPr>
      </w:pPr>
      <w:r>
        <w:t xml:space="preserve">GitHub Discussions on WhalerMike/modernization-workbook</w:t>
      </w:r>
    </w:p>
    <w:bookmarkEnd w:id="61"/>
    <w:bookmarkEnd w:id="62"/>
    <w:bookmarkStart w:id="63" w:name="Xbd7a3c7f8cce47827abccb23e5f6a7554583ae2"/>
    <w:p>
      <w:pPr>
        <w:pStyle w:val="Heading2"/>
      </w:pPr>
      <w:r>
        <w:t xml:space="preserve">Appendix A — Tool-by-Tool Detailed Comparison Matrix</w:t>
      </w:r>
    </w:p>
    <w:p>
      <w:pPr>
        <w:pStyle w:val="FirstParagraph"/>
      </w:pPr>
      <w:r>
        <w:t xml:space="preserve">The following reference matrix maps each Microsoft tool against every FMP assessment domain. Legend:</w:t>
      </w:r>
      <w:r>
        <w:t xml:space="preserve"> </w:t>
      </w:r>
      <w:r>
        <w:rPr>
          <w:b/>
          <w:bCs/>
        </w:rPr>
        <w:t xml:space="preserve">✓ Full</w:t>
      </w:r>
      <w:r>
        <w:t xml:space="preserve"> </w:t>
      </w:r>
      <w:r>
        <w:t xml:space="preserve">|</w:t>
      </w:r>
      <w:r>
        <w:t xml:space="preserve"> </w:t>
      </w:r>
      <w:r>
        <w:rPr>
          <w:b/>
          <w:bCs/>
        </w:rPr>
        <w:t xml:space="preserve">~ Partial</w:t>
      </w:r>
      <w:r>
        <w:t xml:space="preserve"> </w:t>
      </w:r>
      <w:r>
        <w:t xml:space="preserve">|</w:t>
      </w:r>
      <w:r>
        <w:t xml:space="preserve"> </w:t>
      </w:r>
      <w:r>
        <w:rPr>
          <w:b/>
          <w:bCs/>
        </w:rPr>
        <w:t xml:space="preserve">✗ None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31"/>
        <w:gridCol w:w="698"/>
        <w:gridCol w:w="582"/>
        <w:gridCol w:w="582"/>
        <w:gridCol w:w="349"/>
        <w:gridCol w:w="465"/>
        <w:gridCol w:w="698"/>
        <w:gridCol w:w="582"/>
        <w:gridCol w:w="465"/>
        <w:gridCol w:w="465"/>
        <w:gridCol w:w="698"/>
        <w:gridCol w:w="698"/>
        <w:gridCol w:w="698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Microsoft Tool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Forest Topology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OU Hierarchy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GPO Inventory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PKI/ADCS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Computer Objects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Users &amp; Groups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Trusts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ACLs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Cross-Correlation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Governance Pipeline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Drift Detection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MAP Toolkit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Azure Migrate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Group Policy Analytics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Entra Connect / Cloud Sync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Defender for Identity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*~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 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~** **✗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** **~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** **✗*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 **✗*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 **~*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Security Compliance Toolkit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ADMT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*~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 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 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 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 **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✗**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FastTrack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Entra Connect Health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Entra Health Monitoring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Azure Policy / Arc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*✗** 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*~**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PowerShell AD / RSAT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  <w:r>
              <w:t xml:space="preserve"> </w:t>
            </w:r>
            <w:r>
              <w:t xml:space="preserve">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*~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~** **~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** **~*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</w:t>
            </w:r>
            <w:r>
              <w:t xml:space="preserve"> </w:t>
            </w:r>
            <w:r>
              <w:rPr>
                <w:b/>
                <w:bCs/>
              </w:rPr>
              <w:t xml:space="preserve">~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~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✗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Assessment Module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✓</w:t>
            </w:r>
          </w:p>
        </w:tc>
      </w:tr>
    </w:tbl>
    <w:p>
      <w:pPr>
        <w:pStyle w:val="BodyText"/>
      </w:pPr>
      <w:r>
        <w:rPr>
          <w:b/>
          <w:bCs/>
        </w:rPr>
        <w:t xml:space="preserve">Key observation:</w:t>
      </w:r>
      <w:r>
        <w:t xml:space="preserve"> </w:t>
      </w:r>
      <w:r>
        <w:t xml:space="preserve">Only PowerShell AD/RSAT provides partial coverage across most domains — but it is raw building blocks, not a solution. Every other Microsoft tool covers at most 1–2 domains. FMP is the only entry that provides full coverage across all 12 domains in a unified, governance-grade pipeline.</w:t>
      </w:r>
    </w:p>
    <w:bookmarkEnd w:id="63"/>
    <w:bookmarkStart w:id="67" w:name="appendix-b-license-and-cost-comparison"/>
    <w:p>
      <w:pPr>
        <w:pStyle w:val="Heading2"/>
      </w:pPr>
      <w:r>
        <w:t xml:space="preserve">Appendix B — License and Cost 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05"/>
        <w:gridCol w:w="1257"/>
        <w:gridCol w:w="2011"/>
        <w:gridCol w:w="364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License Type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Estimated Annual Cost (per user or per environment)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MAP Toolkit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eprecated; no ongoing investment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Azure Migrate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(Azure subscription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(compute costs for appliance) 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ssessment is free; migration execution incurs Azure consumption costs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Group Policy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Intune license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$8–$16/user/month (Intune standalone or as part of M365) 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rt of Microsoft Intune Suite; most orgs already have via M365 E3/E5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Entra Connect / Cloud Sync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Entra ID P1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$6/user/month (P1) or $9/user/month (P2) Of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ten bundled with M365 E3 (P1) or E5 (P2)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Defender for 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E5 Security or standalone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$6/user/month (standalone) or part of E5 at $57/user/month 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 expensive point solution; significant budget requirement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Security Compliance Toolkit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ownload from Microsoft; no license required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egacy tool; SQL Server dependency adds indirect cost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FastTrack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with qualifying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(requires 150+ paid seats) 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uidance service only; no tooling or automation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Entra Connect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Entra ID P1 or P2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with P1/P2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additional cost beyond Entra ID licensing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Entra Health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with Entra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(preview) 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review; pricing may change at GA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Azure Policy / Arc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(basic) / Arc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(basic) / ~$6/server/month (Arc-enabled servers) Arc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enrollment required for on-premises servers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PowerShell AD / RSAT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 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ncluded with Windows Server; engineering time not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governance pipeline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Open Source (Apache-2.0)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$0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Free. Requires PowerShell, RSAT, and Gitea (also free/open-source). All governance pipeline capabilities included.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Cost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achieve equivalent assessment coverage using Microsoft tools alone (without FMP), an organization would need: Intune licensing + Entra ID P1/P2 + Defender for Identity + Azure Arc — totaling approximately</w:t>
            </w:r>
            <w:r>
              <w:t xml:space="preserve"> </w:t>
            </w:r>
            <w:r>
              <w:rPr>
                <w:b/>
                <w:bCs/>
              </w:rPr>
              <w:t xml:space="preserve">$25–$57/user/month</w:t>
            </w:r>
            <w:r>
              <w:t xml:space="preserve">, while still leaving governance pipeline, cross-correlation, and drift detection as custom development. FMP provides the governance layer at</w:t>
            </w:r>
            <w:r>
              <w:t xml:space="preserve"> </w:t>
            </w:r>
            <w:r>
              <w:rPr>
                <w:b/>
                <w:bCs/>
              </w:rPr>
              <w:t xml:space="preserve">$0 license cost</w:t>
            </w:r>
            <w:r>
              <w:t xml:space="preserve">.</w:t>
            </w:r>
          </w:p>
          <w:p/>
        </w:tc>
      </w:tr>
    </w:tbl>
    <w:bookmarkEnd w:id="67"/>
    <w:bookmarkStart w:id="68" w:name="Xbe1549e1fd58d9c2e86d01e978e4e3229ddbf4f"/>
    <w:p>
      <w:pPr>
        <w:pStyle w:val="Heading2"/>
      </w:pPr>
      <w:r>
        <w:t xml:space="preserve">Appendix C — Companion Document Cross-Reference</w:t>
      </w:r>
    </w:p>
    <w:p>
      <w:pPr>
        <w:pStyle w:val="FirstParagraph"/>
      </w:pPr>
      <w:r>
        <w:t xml:space="preserve">This document is part of the FMP documentation corpus. The following table maps this gap analysis to companion documents in the repository: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28"/>
        <w:gridCol w:w="3505"/>
        <w:gridCol w:w="2986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Companion Document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Relationship to This Document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Key Cross-References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AD Computer Object Conversion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 the computer object assessment that Section 3 summarizes as</w:t>
            </w:r>
            <w:r>
              <w:t xml:space="preserve"> </w:t>
            </w:r>
            <w:r>
              <w:t xml:space="preserve">“Computer Object Inventory”</w:t>
            </w:r>
            <w:r>
              <w:t xml:space="preserve"> </w:t>
            </w:r>
            <w:r>
              <w:t xml:space="preserve">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ction 3, Row 6 (Computer Object Inventory); Section 7 (Server Inventory — CONSUME vs. BUILD)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Platform Server Build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Describes the infrastructure on which FMP assessment modules execute, including Gitea server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6 (Governance Pipeline Integration); Section 9 (Integration Architecture)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CLI and Operations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Documents the Invoke-FMPADAssessment cmdlet and other assessment operations referenced throughout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3 (all assessment domains reference FMP cmdlets); Section 9.2 (Import Module Specification)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Active Directory Interaction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 the read-only and read-write AD interaction patterns that underpin FMP’s assessment module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ection 2.12 (PowerShell AD / RSAT); Section 3 (assessment domain cmdlet references)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Identity Modernization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the modernization planning that FMP assessment data feeds into, including Entra ID migration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2.4 (Entra Connect); Section 6.3 (SCuBA Parallel); Section 7 (CONSUME vs. BUILD)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DNS Modernization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 the DNS assessment and modernization workflow that this document identifies as a complete Microsoft gap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3, Row 4 (DNS Zone &amp; Record Assessment); Section 4 (DNS Assessment — 0% Microsoft coverage)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Read-Only AD Assessment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Specifies the non-invasive assessment methodology that ensures FMP assessment is safe for production environments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3 (all assessment domains); Section 10.2 (Recommendation 3 — PowerShell-first assessment)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Git Infrastructure ADR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Architecture Decision Record for Gitea-based governance pipeline — the infrastructure that Section 3 Row 11 describes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3, Row 11 (Governance Pipeline Integration); Section 6 (Orchestration Layer Pattern)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FMP Git Server Implementation Guide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details for the Gitea server that stores governance artifacts and enables drift detection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 3, Rows 11–12 (Governance Pipeline, Drift Detection); Section 9 (Integration Architecture)</w:t>
            </w:r>
          </w:p>
        </w:tc>
      </w:tr>
    </w:tbl>
    <w:p>
      <w:pPr>
        <w:pStyle w:val="BodyText"/>
      </w:pPr>
      <w:r>
        <w:t xml:space="preserve">FMP vs. Microsoft Native Tools — AD Assessment and Modernization Gap Analysis | Version 1.1 | July 2026</w:t>
      </w:r>
      <w:r>
        <w:br/>
      </w:r>
      <w:r>
        <w:t xml:space="preserve">Classification: Public | Boundary: GCC-Moderate</w:t>
      </w:r>
      <w:r>
        <w:br/>
      </w:r>
      <w:r>
        <w:t xml:space="preserve">FMP Architecture Team | github.com/WhalerMike/modernization-workbook</w:t>
      </w:r>
    </w:p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Relationship Type="http://schemas.openxmlformats.org/officeDocument/2006/relationships/image" Id="rId12" Target="media/rId12.png" /><Relationship Type="http://schemas.openxmlformats.org/officeDocument/2006/relationships/image" Id="rId64" Target="media/rId64.png" /><Relationship Type="http://schemas.openxmlformats.org/officeDocument/2006/relationships/image" Id="rId44" Target="media/rId44.png" /><Relationship Type="http://schemas.openxmlformats.org/officeDocument/2006/relationships/image" Id="rId17" Target="media/rId17.png" /><Relationship Type="http://schemas.openxmlformats.org/officeDocument/2006/relationships/hyperlink" Id="rId23" Target="../reference-architecture/gpo-cloud-governance-gap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reference-architecture/gpo-cloud-governance-gap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FMP vs Microsoft Native Tools — Gap Analysis</dc:title>
  <dc:creator>Michael Stratton</dc:creator>
  <cp:keywords/>
  <dcterms:created xsi:type="dcterms:W3CDTF">2026-10-19T10:11:48Z</dcterms:created>
  <dcterms:modified xsi:type="dcterms:W3CDTF">2026-10-19T10:11:48Z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2026-04-01</vt:lpwstr>
  </property>
  <property fmtid="{D5CDD505-2E9C-101B-9397-08002B2CF9AE}" pid="6" name="derived-from">
    <vt:lpwstr>Converted from the committed DOCX (rendered 2026-09-16, rev e1a72fa8)</vt:lpwstr>
  </property>
  <property fmtid="{D5CDD505-2E9C-101B-9397-08002B2CF9AE}" pid="7" name="doc-type">
    <vt:lpwstr>whitepaper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status">
    <vt:lpwstr>Active</vt:lpwstr>
  </property>
  <property fmtid="{D5CDD505-2E9C-101B-9397-08002B2CF9AE}" pid="13" name="subtitle">
    <vt:lpwstr>Why Microsoft’s 12 tools don’t replace a governance orchestration layer</vt:lpwstr>
  </property>
  <property fmtid="{D5CDD505-2E9C-101B-9397-08002B2CF9AE}" pid="14" name="toc-title">
    <vt:lpwstr>Table of contents</vt:lpwstr>
  </property>
</Properties>
</file>