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7" w:name="X9dbbbe386dd09cb6acdf3978743155fbb712018"/>
    <w:p>
      <w:pPr>
        <w:pStyle w:val="Heading1"/>
      </w:pPr>
      <w:r>
        <w:t xml:space="preserve">Flipping 50,000 Devices to Hybrid Join — The Governed and Ungoverned Paths</w:t>
      </w:r>
    </w:p>
    <w:p>
      <w:pPr>
        <w:pStyle w:val="FirstParagraph"/>
      </w:pPr>
      <w:r>
        <w:rPr>
          <w:b/>
          <w:bCs/>
        </w:rPr>
        <w:t xml:space="preserve">Why “all sign-in activity comes from managed devices” is a near-effortless tenant switch — and a loss ledger if you take the switch without governance</w:t>
      </w:r>
    </w:p>
    <w:bookmarkStart w:id="9" w:name="problem-solution-ask"/>
    <w:p>
      <w:pPr>
        <w:pStyle w:val="Heading2"/>
      </w:pPr>
      <w:r>
        <w:t xml:space="preserve">Problem, solution, ask</w:t>
      </w:r>
    </w:p>
    <w:p>
      <w:pPr>
        <w:pStyle w:val="FirstParagraph"/>
      </w:pPr>
      <w:r>
        <w:rPr>
          <w:b/>
          <w:bCs/>
        </w:rPr>
        <w:t xml:space="preserve">Problem.</w:t>
      </w:r>
      <w:r>
        <w:t xml:space="preserve"> </w:t>
      </w:r>
      <w:r>
        <w:t xml:space="preserve">“All sign-in activity comes from managed devices” is scored as a multi-quarter program, yet converting 50,000 domain-joined devices to hybrid join is a two-setting tenant switch. Taken ungoverned, the fleet converts itself and silently spends a loss ledger: duplicate objects, unattributable device-state changes, devices Conditional Access cannot see — with nobody having decided anything.</w:t>
      </w:r>
    </w:p>
    <w:p>
      <w:pPr>
        <w:pStyle w:val="BodyText"/>
      </w:pPr>
      <w:r>
        <w:rPr>
          <w:b/>
          <w:bCs/>
        </w:rPr>
        <w:t xml:space="preserve">Solution.</w:t>
      </w:r>
      <w:r>
        <w:t xml:space="preserve"> </w:t>
      </w:r>
      <w:r>
        <w:t xml:space="preserve">The governed path reaches the same end state under a governance control plane: enter in report-only mode, sequence attribute-scoped waves, and gate every high-blast-radius enforcement class on coverage data and approval, so enforcement never runs ahead of the inventory it depends on.</w:t>
      </w:r>
    </w:p>
    <w:p>
      <w:pPr>
        <w:pStyle w:val="BodyText"/>
      </w:pPr>
      <w:r>
        <w:rPr>
          <w:b/>
          <w:bCs/>
        </w:rPr>
        <w:t xml:space="preserve">Ask.</w:t>
      </w:r>
      <w:r>
        <w:t xml:space="preserve"> </w:t>
      </w:r>
      <w:r>
        <w:t xml:space="preserve">Find out whether the ungoverned path is already live (service connection point + Group Policy auto-registration, and since when); run the fleet against the loss ledger before any Conditional Access policy enforces; and name the wave owner who holds the plan, the sign-offs, and the rollback.</w:t>
      </w:r>
    </w:p>
    <w:bookmarkEnd w:id="9"/>
    <w:bookmarkStart w:id="10" w:name="the-one-sentence-this-turns-on"/>
    <w:p>
      <w:pPr>
        <w:pStyle w:val="Heading2"/>
      </w:pPr>
      <w:r>
        <w:t xml:space="preserve">The one sentence this turns on</w:t>
      </w:r>
    </w:p>
    <w:p>
      <w:pPr>
        <w:pStyle w:val="BlockText"/>
      </w:pPr>
      <w:r>
        <w:t xml:space="preserve">The mechanism to convert a 50,000-seat estate to hybrid join requires</w:t>
      </w:r>
      <w:r>
        <w:t xml:space="preserve"> </w:t>
      </w:r>
      <w:r>
        <w:rPr>
          <w:b/>
          <w:bCs/>
        </w:rPr>
        <w:t xml:space="preserve">almost no governance</w:t>
      </w:r>
      <w:r>
        <w:t xml:space="preserve"> </w:t>
      </w:r>
      <w:r>
        <w:t xml:space="preserve">— and that is exactly why doing it ungoverned is dangerous. The provider data plane makes the bulk state change effortless; governance is precisely the part the mechanism does</w:t>
      </w:r>
      <w:r>
        <w:t xml:space="preserve"> </w:t>
      </w:r>
      <w:r>
        <w:rPr>
          <w:i/>
          <w:iCs/>
        </w:rPr>
        <w:t xml:space="preserve">not</w:t>
      </w:r>
      <w:r>
        <w:t xml:space="preserve"> </w:t>
      </w:r>
      <w:r>
        <w:t xml:space="preserve">require, so it is the part that gets skipped.</w:t>
      </w:r>
    </w:p>
    <w:bookmarkEnd w:id="10"/>
    <w:bookmarkStart w:id="11" w:name="the-control-being-satisfied"/>
    <w:p>
      <w:pPr>
        <w:pStyle w:val="Heading2"/>
      </w:pPr>
      <w:r>
        <w:t xml:space="preserve">1. The control being satisfied</w:t>
      </w:r>
    </w:p>
    <w:p>
      <w:pPr>
        <w:pStyle w:val="FirstParagraph"/>
      </w:pPr>
      <w:r>
        <w:t xml:space="preserve">A typical Zero Trust baseline carries a control that reads, in full,</w:t>
      </w:r>
      <w:r>
        <w:t xml:space="preserve"> </w:t>
      </w:r>
      <w:r>
        <w:rPr>
          <w:i/>
          <w:iCs/>
        </w:rPr>
        <w:t xml:space="preserve">“All sign-in activity comes from managed devices”</w:t>
      </w:r>
      <w:r>
        <w:t xml:space="preserve"> </w:t>
      </w:r>
      <w:r>
        <w:t xml:space="preserve">— satisfied in practice by requiring compliant or hybrid-joined devices with Conditional Access. That single line is scored as a multi-quarter program gated on device, device-management, and join maturity.</w:t>
      </w:r>
    </w:p>
    <w:p>
      <w:pPr>
        <w:pStyle w:val="BodyText"/>
      </w:pPr>
      <w:r>
        <w:t xml:space="preserve">What makes it a multi-quarter program is not the toggle. It is the twenty years of Active Directory entanglement the toggle sits on top of. The ungoverned path is what it looks like when an organization treats the complexity as if it were a simple switch.</w:t>
      </w:r>
    </w:p>
    <w:bookmarkEnd w:id="11"/>
    <w:bookmarkStart w:id="12" w:name="Xa2a9b0cc238b0e8b0ab57819f5a11ea148d69c0"/>
    <w:p>
      <w:pPr>
        <w:pStyle w:val="Heading2"/>
      </w:pPr>
      <w:r>
        <w:t xml:space="preserve">2. The ungoverned path — a tenant switch, not 50,000 decisions</w:t>
      </w:r>
    </w:p>
    <w:p>
      <w:pPr>
        <w:pStyle w:val="FirstParagraph"/>
      </w:pPr>
      <w:r>
        <w:t xml:space="preserve">Converting an existing Active Directory-domain-joined fleet to hybrid join is, at the mechanism level, a</w:t>
      </w:r>
      <w:r>
        <w:t xml:space="preserve"> </w:t>
      </w:r>
      <w:r>
        <w:rPr>
          <w:i/>
          <w:iCs/>
        </w:rPr>
        <w:t xml:space="preserve">fleet-wide switch</w:t>
      </w:r>
      <w:r>
        <w:t xml:space="preserve"> </w:t>
      </w:r>
      <w:r>
        <w:t xml:space="preserve">— not a per-device project:</w:t>
      </w:r>
    </w:p>
    <w:p>
      <w:pPr>
        <w:pStyle w:val="Compact"/>
        <w:numPr>
          <w:ilvl w:val="0"/>
          <w:numId w:val="1001"/>
        </w:numPr>
      </w:pPr>
      <w:r>
        <w:rPr>
          <w:b/>
          <w:bCs/>
        </w:rPr>
        <w:t xml:space="preserve">Sync the computer objects.</w:t>
      </w:r>
      <w:r>
        <w:t xml:space="preserve"> </w:t>
      </w:r>
      <w:r>
        <w:t xml:space="preserve">Directory synchronization is almost certainly already syncing users; extend the scope to synchronize the computer objects.</w:t>
      </w:r>
    </w:p>
    <w:p>
      <w:pPr>
        <w:pStyle w:val="Compact"/>
        <w:numPr>
          <w:ilvl w:val="0"/>
          <w:numId w:val="1001"/>
        </w:numPr>
      </w:pPr>
      <w:r>
        <w:rPr>
          <w:b/>
          <w:bCs/>
        </w:rPr>
        <w:t xml:space="preserve">Set the Service Connection Point once.</w:t>
      </w:r>
      <w:r>
        <w:t xml:space="preserve"> </w:t>
      </w:r>
      <w:r>
        <w:t xml:space="preserve">Either the synchronization configuration writes the service connection point into Active Directory’s Configuration partition, or you push the “Register domain-joined computers as devices” device-registration policy by Group Policy. The service connection point stamps every domain-joined machine with the tenant identifier and a verified domain name — its instructions for where to register.</w:t>
      </w:r>
    </w:p>
    <w:p>
      <w:pPr>
        <w:pStyle w:val="Compact"/>
        <w:numPr>
          <w:ilvl w:val="0"/>
          <w:numId w:val="1001"/>
        </w:numPr>
      </w:pPr>
      <w:r>
        <w:rPr>
          <w:b/>
          <w:bCs/>
        </w:rPr>
        <w:t xml:space="preserve">The devices register themselves.</w:t>
      </w:r>
      <w:r>
        <w:t xml:space="preserve"> </w:t>
      </w:r>
      <w:r>
        <w:t xml:space="preserve">The built-in Automatic-Device-Join scheduled task fires on the next logon or reboot, the device reaches the registration endpoints, a cloud device object is created, and the device receives a Primary Refresh Token for cloud single sign-on. Status then shows both cloud-joined and domain-joined.</w:t>
      </w:r>
    </w:p>
    <w:p>
      <w:pPr>
        <w:pStyle w:val="FirstParagraph"/>
      </w:pPr>
      <w:r>
        <w:t xml:space="preserve">That is the entire mechanism. One service connection point, one Group Policy Object, and the whole estate begins flipping state on its own schedule.</w:t>
      </w:r>
      <w:r>
        <w:t xml:space="preserve"> </w:t>
      </w:r>
      <w:r>
        <w:rPr>
          <w:b/>
          <w:bCs/>
        </w:rPr>
        <w:t xml:space="preserve">There is no per-device gate, no ownership check, no organizational-position check, and no reconciliation step anywhere in that path.</w:t>
      </w:r>
    </w:p>
    <w:p>
      <w:pPr>
        <w:pStyle w:val="BodyText"/>
      </w:pPr>
      <w:r>
        <w:t xml:space="preserve">That effortlessness is not a convenience. It is the hazard: the control’s intent —</w:t>
      </w:r>
      <w:r>
        <w:t xml:space="preserve"> </w:t>
      </w:r>
      <w:r>
        <w:rPr>
          <w:i/>
          <w:iCs/>
        </w:rPr>
        <w:t xml:space="preserve">every sign-in comes from a known, owned, managed device</w:t>
      </w:r>
      <w:r>
        <w:t xml:space="preserve"> </w:t>
      </w:r>
      <w:r>
        <w:t xml:space="preserve">— gets converted into</w:t>
      </w:r>
      <w:r>
        <w:t xml:space="preserve"> </w:t>
      </w:r>
      <w:r>
        <w:rPr>
          <w:b/>
          <w:bCs/>
        </w:rPr>
        <w:t xml:space="preserve">50,000 untracked state changes</w:t>
      </w:r>
      <w:r>
        <w:t xml:space="preserve"> </w:t>
      </w:r>
      <w:r>
        <w:t xml:space="preserve">that no one can subsequently attribute.</w:t>
      </w:r>
    </w:p>
    <w:bookmarkEnd w:id="12"/>
    <w:bookmarkStart w:id="13" w:name="Xf1b9ae6afb0049b2ef7f71b04ef9fd0cab7b246"/>
    <w:p>
      <w:pPr>
        <w:pStyle w:val="Heading2"/>
      </w:pPr>
      <w:r>
        <w:t xml:space="preserve">3. The loss ledger — what “ungoverned” actually spends</w:t>
      </w:r>
    </w:p>
    <w:p>
      <w:pPr>
        <w:pStyle w:val="FirstParagraph"/>
      </w:pPr>
      <w:r>
        <w:t xml:space="preserve">Classic Active Directory was a creaky governance system, but it</w:t>
      </w:r>
      <w:r>
        <w:t xml:space="preserve"> </w:t>
      </w:r>
      <w:r>
        <w:rPr>
          <w:i/>
          <w:iCs/>
        </w:rPr>
        <w:t xml:space="preserve">was</w:t>
      </w:r>
      <w:r>
        <w:t xml:space="preserve"> </w:t>
      </w:r>
      <w:r>
        <w:t xml:space="preserve">a governance system: a computer object lived in an organizational unit, had a delegated admin lineage, and was visible to the same console that governed everything else. An ungoverned hybrid-join flip keeps the</w:t>
      </w:r>
      <w:r>
        <w:t xml:space="preserve"> </w:t>
      </w:r>
      <w:r>
        <w:rPr>
          <w:i/>
          <w:iCs/>
        </w:rPr>
        <w:t xml:space="preserve">connectivity</w:t>
      </w:r>
      <w:r>
        <w:t xml:space="preserve"> </w:t>
      </w:r>
      <w:r>
        <w:t xml:space="preserve">benefit (cloud single sign-on, Conditional Access eligibility) while quietly discarding the governance scaffolding underneath.</w:t>
      </w:r>
    </w:p>
    <w:p>
      <w:pPr>
        <w:pStyle w:val="BodyText"/>
      </w:pPr>
      <w:r>
        <w:t xml:space="preserve">Hybrid join splits one machine’s truth across three systems of record — Active Directory (computer object), cloud identity (device object + token), and device management (compliance state) — with nothing reconciling them. This is the condition that produces contention on the single source of truth.</w:t>
      </w:r>
    </w:p>
    <w:tbl>
      <w:tblPr>
        <w:tblStyle w:val="Table"/>
        <w:tblW w:type="pct" w:w="5000"/>
        <w:tblLayout w:type="fixed"/>
        <w:tblLook w:firstRow="1" w:lastRow="0" w:firstColumn="0" w:lastColumn="0" w:noHBand="0" w:noVBand="0" w:val="0020"/>
      </w:tblPr>
      <w:tblGrid>
        <w:gridCol w:w="2724"/>
        <w:gridCol w:w="2724"/>
        <w:gridCol w:w="2471"/>
      </w:tblGrid>
      <w:tr>
        <w:trPr>
          <w:tblHeader w:val="on"/>
        </w:trPr>
        <w:tc>
          <w:tcPr/>
          <w:p>
            <w:pPr>
              <w:pStyle w:val="Compact"/>
            </w:pPr>
            <w:r>
              <w:t xml:space="preserve">Capability under classic Active Directory</w:t>
            </w:r>
          </w:p>
        </w:tc>
        <w:tc>
          <w:tcPr/>
          <w:p>
            <w:pPr>
              <w:pStyle w:val="Compact"/>
            </w:pPr>
            <w:r>
              <w:t xml:space="preserve">What an ungoverned hybrid-join flip loses</w:t>
            </w:r>
          </w:p>
        </w:tc>
        <w:tc>
          <w:tcPr/>
          <w:p>
            <w:pPr>
              <w:pStyle w:val="Compact"/>
            </w:pPr>
            <w:r>
              <w:t xml:space="preserve">What governed reconciliation restores</w:t>
            </w:r>
          </w:p>
        </w:tc>
      </w:tr>
      <w:tr>
        <w:tc>
          <w:tcPr/>
          <w:p>
            <w:pPr>
              <w:pStyle w:val="Compact"/>
            </w:pPr>
            <w:r>
              <w:rPr>
                <w:b/>
                <w:bCs/>
              </w:rPr>
              <w:t xml:space="preserve">Ownership</w:t>
            </w:r>
            <w:r>
              <w:t xml:space="preserve"> </w:t>
            </w:r>
            <w:r>
              <w:t xml:space="preserve">— each computer object sat in an organizational unit with a delegated admin lineage</w:t>
            </w:r>
          </w:p>
        </w:tc>
        <w:tc>
          <w:tcPr/>
          <w:p>
            <w:pPr>
              <w:pStyle w:val="Compact"/>
            </w:pPr>
            <w:r>
              <w:t xml:space="preserve">New cloud device objects appear with no human-owner mapping and no organizational position; “who owns this device, in what part of the organization” is unanswerable at scale</w:t>
            </w:r>
          </w:p>
        </w:tc>
        <w:tc>
          <w:tcPr/>
          <w:p>
            <w:pPr>
              <w:pStyle w:val="Compact"/>
            </w:pPr>
            <w:r>
              <w:t xml:space="preserve">Every governed object carries organizational attributes; ownership and scoping compose against them</w:t>
            </w:r>
          </w:p>
        </w:tc>
      </w:tr>
      <w:tr>
        <w:tc>
          <w:tcPr/>
          <w:p>
            <w:pPr>
              <w:pStyle w:val="Compact"/>
            </w:pPr>
            <w:r>
              <w:rPr>
                <w:b/>
                <w:bCs/>
              </w:rPr>
              <w:t xml:space="preserve">One object per machine</w:t>
            </w:r>
            <w:r>
              <w:t xml:space="preserve"> </w:t>
            </w:r>
            <w:r>
              <w:t xml:space="preserve">— the Active Directory computer object was the single record</w:t>
            </w:r>
          </w:p>
        </w:tc>
        <w:tc>
          <w:tcPr/>
          <w:p>
            <w:pPr>
              <w:pStyle w:val="Compact"/>
            </w:pPr>
            <w:r>
              <w:t xml:space="preserve">Prior registered states and stale-but-still-syncing objects produce</w:t>
            </w:r>
            <w:r>
              <w:t xml:space="preserve"> </w:t>
            </w:r>
            <w:r>
              <w:rPr>
                <w:b/>
                <w:bCs/>
              </w:rPr>
              <w:t xml:space="preserve">duplicate and phantom</w:t>
            </w:r>
            <w:r>
              <w:t xml:space="preserve"> </w:t>
            </w:r>
            <w:r>
              <w:t xml:space="preserve">device records that read as “managed”</w:t>
            </w:r>
          </w:p>
        </w:tc>
        <w:tc>
          <w:tcPr/>
          <w:p>
            <w:pPr>
              <w:pStyle w:val="Compact"/>
            </w:pPr>
            <w:r>
              <w:t xml:space="preserve">The reconciliation loop detects the divergence and de-duplicates against the authoritative source</w:t>
            </w:r>
          </w:p>
        </w:tc>
      </w:tr>
      <w:tr>
        <w:tc>
          <w:tcPr/>
          <w:p>
            <w:pPr>
              <w:pStyle w:val="Compact"/>
            </w:pPr>
            <w:r>
              <w:rPr>
                <w:b/>
                <w:bCs/>
              </w:rPr>
              <w:t xml:space="preserve">Scoped, gradual rollout</w:t>
            </w:r>
            <w:r>
              <w:t xml:space="preserve"> </w:t>
            </w:r>
            <w:r>
              <w:t xml:space="preserve">— Group Policy applied per organizational unit, in waves</w:t>
            </w:r>
          </w:p>
        </w:tc>
        <w:tc>
          <w:tcPr/>
          <w:p>
            <w:pPr>
              <w:pStyle w:val="Compact"/>
            </w:pPr>
            <w:r>
              <w:t xml:space="preserve">Turning the Conditional Access “require compliant or hybrid joined” policy to enforce before registration has actually completed fleet-wide →</w:t>
            </w:r>
            <w:r>
              <w:t xml:space="preserve"> </w:t>
            </w:r>
            <w:r>
              <w:rPr>
                <w:b/>
                <w:bCs/>
              </w:rPr>
              <w:t xml:space="preserve">tenant-wide lockout</w:t>
            </w:r>
          </w:p>
        </w:tc>
        <w:tc>
          <w:tcPr/>
          <w:p>
            <w:pPr>
              <w:pStyle w:val="Compact"/>
            </w:pPr>
            <w:r>
              <w:t xml:space="preserve">Device-state change is treated as a high-blast-radius operation class: report-only baking, then gated actuation with a human approver</w:t>
            </w:r>
          </w:p>
        </w:tc>
      </w:tr>
      <w:tr>
        <w:tc>
          <w:tcPr/>
          <w:p>
            <w:pPr>
              <w:pStyle w:val="Compact"/>
            </w:pPr>
            <w:r>
              <w:rPr>
                <w:b/>
                <w:bCs/>
              </w:rPr>
              <w:t xml:space="preserve">Provenance</w:t>
            </w:r>
            <w:r>
              <w:t xml:space="preserve"> </w:t>
            </w:r>
            <w:r>
              <w:t xml:space="preserve">— changes were at least logged in one directory</w:t>
            </w:r>
          </w:p>
        </w:tc>
        <w:tc>
          <w:tcPr/>
          <w:p>
            <w:pPr>
              <w:pStyle w:val="Compact"/>
            </w:pPr>
            <w:r>
              <w:t xml:space="preserve">Each of 50,000 device-state changes happens with no signed, attributable record of</w:t>
            </w:r>
            <w:r>
              <w:t xml:space="preserve"> </w:t>
            </w:r>
            <w:r>
              <w:rPr>
                <w:i/>
                <w:iCs/>
              </w:rPr>
              <w:t xml:space="preserve">why</w:t>
            </w:r>
            <w:r>
              <w:t xml:space="preserve"> </w:t>
            </w:r>
            <w:r>
              <w:t xml:space="preserve">and</w:t>
            </w:r>
            <w:r>
              <w:t xml:space="preserve"> </w:t>
            </w:r>
            <w:r>
              <w:rPr>
                <w:i/>
                <w:iCs/>
              </w:rPr>
              <w:t xml:space="preserve">under whose authority</w:t>
            </w:r>
          </w:p>
        </w:tc>
        <w:tc>
          <w:tcPr/>
          <w:p>
            <w:pPr>
              <w:pStyle w:val="Compact"/>
            </w:pPr>
            <w:r>
              <w:t xml:space="preserve">Each plan / apply / reconcile step emits signed evidence; an unattributable state is provenance drift</w:t>
            </w:r>
          </w:p>
        </w:tc>
      </w:tr>
      <w:tr>
        <w:tc>
          <w:tcPr/>
          <w:p>
            <w:pPr>
              <w:pStyle w:val="Compact"/>
            </w:pPr>
            <w:r>
              <w:rPr>
                <w:b/>
                <w:bCs/>
              </w:rPr>
              <w:t xml:space="preserve">Lifecycle</w:t>
            </w:r>
            <w:r>
              <w:t xml:space="preserve"> </w:t>
            </w:r>
            <w:r>
              <w:t xml:space="preserve">— Active Directory had a (creaky) join/leave lifecycle</w:t>
            </w:r>
          </w:p>
        </w:tc>
        <w:tc>
          <w:tcPr/>
          <w:p>
            <w:pPr>
              <w:pStyle w:val="Compact"/>
            </w:pPr>
            <w:r>
              <w:t xml:space="preserve">No retirement story: decommissioned machines linger as stale cloud device objects, inflating the “managed” count indefinitely</w:t>
            </w:r>
          </w:p>
        </w:tc>
        <w:tc>
          <w:tcPr/>
          <w:p>
            <w:pPr>
              <w:pStyle w:val="Compact"/>
            </w:pPr>
            <w:r>
              <w:t xml:space="preserve">Lifecycle is reconciled against the authoritative source; stale objects surface for access review rather than accumulating</w:t>
            </w:r>
          </w:p>
        </w:tc>
      </w:tr>
      <w:tr>
        <w:tc>
          <w:tcPr/>
          <w:p>
            <w:pPr>
              <w:pStyle w:val="Compact"/>
            </w:pPr>
            <w:r>
              <w:rPr>
                <w:b/>
                <w:bCs/>
              </w:rPr>
              <w:t xml:space="preserve">Single console of record</w:t>
            </w:r>
            <w:r>
              <w:t xml:space="preserve"> </w:t>
            </w:r>
            <w:r>
              <w:t xml:space="preserve">— Active Directory owned the computer object end-to-end</w:t>
            </w:r>
          </w:p>
        </w:tc>
        <w:tc>
          <w:tcPr/>
          <w:p>
            <w:pPr>
              <w:pStyle w:val="Compact"/>
            </w:pPr>
            <w:r>
              <w:t xml:space="preserve">State now spans three planes — Active Directory owns the computer object, cloud identity owns the device object, device management owns compliance — with nothing reconciling them</w:t>
            </w:r>
          </w:p>
        </w:tc>
        <w:tc>
          <w:tcPr/>
          <w:p>
            <w:pPr>
              <w:pStyle w:val="Compact"/>
            </w:pPr>
            <w:r>
              <w:t xml:space="preserve">The control plane reconciles all three; providers remain data planes, not competing sources of truth</w:t>
            </w:r>
          </w:p>
        </w:tc>
      </w:tr>
      <w:tr>
        <w:tc>
          <w:tcPr/>
          <w:p>
            <w:pPr>
              <w:pStyle w:val="Compact"/>
            </w:pPr>
            <w:r>
              <w:rPr>
                <w:b/>
                <w:bCs/>
              </w:rPr>
              <w:t xml:space="preserve">Line-of-sight assumption was explicit</w:t>
            </w:r>
          </w:p>
        </w:tc>
        <w:tc>
          <w:tcPr/>
          <w:p>
            <w:pPr>
              <w:pStyle w:val="Compact"/>
            </w:pPr>
            <w:r>
              <w:t xml:space="preserve">Hybrid join’s hard dependency on reaching a domain controller is left implicit; remote-first / VPN-only users silently fail until unusable</w:t>
            </w:r>
          </w:p>
        </w:tc>
        <w:tc>
          <w:tcPr/>
          <w:p>
            <w:pPr>
              <w:pStyle w:val="Compact"/>
            </w:pPr>
            <w:r>
              <w:t xml:space="preserve">The domain-controller-reachability constraint is named as a known limit and drives the target state (cloud join) rather than being discovered as an outage</w:t>
            </w:r>
          </w:p>
        </w:tc>
      </w:tr>
    </w:tbl>
    <w:p>
      <w:pPr>
        <w:pStyle w:val="BodyText"/>
      </w:pPr>
      <w:r>
        <w:t xml:space="preserve">The pattern across every row is the same: the ungoverned flip keeps the</w:t>
      </w:r>
      <w:r>
        <w:t xml:space="preserve"> </w:t>
      </w:r>
      <w:r>
        <w:rPr>
          <w:b/>
          <w:bCs/>
        </w:rPr>
        <w:t xml:space="preserve">runtime benefit</w:t>
      </w:r>
      <w:r>
        <w:t xml:space="preserve"> </w:t>
      </w:r>
      <w:r>
        <w:t xml:space="preserve">and spends the</w:t>
      </w:r>
      <w:r>
        <w:t xml:space="preserve"> </w:t>
      </w:r>
      <w:r>
        <w:rPr>
          <w:b/>
          <w:bCs/>
        </w:rPr>
        <w:t xml:space="preserve">truth-and-accountability layer</w:t>
      </w:r>
      <w:r>
        <w:t xml:space="preserve">.</w:t>
      </w:r>
    </w:p>
    <w:bookmarkEnd w:id="13"/>
    <w:bookmarkStart w:id="14" w:name="what-hybrid-join-still-does-not-satisfy"/>
    <w:p>
      <w:pPr>
        <w:pStyle w:val="Heading2"/>
      </w:pPr>
      <w:r>
        <w:t xml:space="preserve">4. What hybrid join still does not satisfy</w:t>
      </w:r>
    </w:p>
    <w:p>
      <w:pPr>
        <w:pStyle w:val="FirstParagraph"/>
      </w:pPr>
      <w:r>
        <w:t xml:space="preserve">Even a flawless 50,000-device hybrid-join rollout does</w:t>
      </w:r>
      <w:r>
        <w:t xml:space="preserve"> </w:t>
      </w:r>
      <w:r>
        <w:rPr>
          <w:b/>
          <w:bCs/>
        </w:rPr>
        <w:t xml:space="preserve">not</w:t>
      </w:r>
      <w:r>
        <w:t xml:space="preserve"> </w:t>
      </w:r>
      <w:r>
        <w:t xml:space="preserve">by itself satisfy</w:t>
      </w:r>
      <w:r>
        <w:t xml:space="preserve"> </w:t>
      </w:r>
      <w:r>
        <w:rPr>
          <w:i/>
          <w:iCs/>
        </w:rPr>
        <w:t xml:space="preserve">“all sign-in activity comes from managed devices.”</w:t>
      </w:r>
      <w:r>
        <w:t xml:space="preserve"> </w:t>
      </w:r>
      <w:r>
        <w:t xml:space="preserve">Hybrid join only covers</w:t>
      </w:r>
      <w:r>
        <w:t xml:space="preserve"> </w:t>
      </w:r>
      <w:r>
        <w:rPr>
          <w:b/>
          <w:bCs/>
        </w:rPr>
        <w:t xml:space="preserve">domain-joined Windows.</w:t>
      </w:r>
      <w:r>
        <w:t xml:space="preserve"> </w:t>
      </w:r>
      <w:r>
        <w:t xml:space="preserve">The control’s denominator is larger:</w:t>
      </w:r>
    </w:p>
    <w:p>
      <w:pPr>
        <w:pStyle w:val="Compact"/>
        <w:numPr>
          <w:ilvl w:val="0"/>
          <w:numId w:val="1002"/>
        </w:numPr>
      </w:pPr>
      <w:r>
        <w:rPr>
          <w:b/>
          <w:bCs/>
        </w:rPr>
        <w:t xml:space="preserve">macOS / iOS / Android / Linux</w:t>
      </w:r>
      <w:r>
        <w:t xml:space="preserve"> </w:t>
      </w:r>
      <w:r>
        <w:t xml:space="preserve">need cloud join or device-management enrollment plus a compliance policy — not hybrid join.</w:t>
      </w:r>
    </w:p>
    <w:p>
      <w:pPr>
        <w:pStyle w:val="Compact"/>
        <w:numPr>
          <w:ilvl w:val="0"/>
          <w:numId w:val="1002"/>
        </w:numPr>
      </w:pPr>
      <w:r>
        <w:rPr>
          <w:b/>
          <w:bCs/>
        </w:rPr>
        <w:t xml:space="preserve">Bring-your-own-device, contractors, guests</w:t>
      </w:r>
      <w:r>
        <w:t xml:space="preserve"> </w:t>
      </w:r>
      <w:r>
        <w:t xml:space="preserve">are never hybrid-joinable at all.</w:t>
      </w:r>
    </w:p>
    <w:p>
      <w:pPr>
        <w:pStyle w:val="Compact"/>
        <w:numPr>
          <w:ilvl w:val="0"/>
          <w:numId w:val="1002"/>
        </w:numPr>
      </w:pPr>
      <w:r>
        <w:rPr>
          <w:b/>
          <w:bCs/>
        </w:rPr>
        <w:t xml:space="preserve">Servers, virtual desktop, shared kiosks, service accounts</w:t>
      </w:r>
      <w:r>
        <w:t xml:space="preserve"> </w:t>
      </w:r>
      <w:r>
        <w:t xml:space="preserve">each need their own posture decision.</w:t>
      </w:r>
    </w:p>
    <w:p>
      <w:pPr>
        <w:pStyle w:val="FirstParagraph"/>
      </w:pPr>
      <w:r>
        <w:t xml:space="preserve">So the population the assessment is really probing is precisely the slice an ungoverned Windows-only flip renders invisible. The answer is to make endpoint onboarding a governed, device-management-first discipline across surfaces, so the uncovered surface is surfaced as a gap instead of hidden by a green checkmark.</w:t>
      </w:r>
    </w:p>
    <w:bookmarkEnd w:id="14"/>
    <w:bookmarkStart w:id="15" w:name="Xb7cf1dea302e82de01bda3f17a42b1e50cdef16"/>
    <w:p>
      <w:pPr>
        <w:pStyle w:val="Heading2"/>
      </w:pPr>
      <w:r>
        <w:t xml:space="preserve">5. The governed path — same end state, under the control plane</w:t>
      </w:r>
    </w:p>
    <w:p>
      <w:pPr>
        <w:pStyle w:val="FirstParagraph"/>
      </w:pPr>
      <w:r>
        <w:t xml:space="preserve">The governed path reaches the identical technical outcome — devices hybrid-joined, Conditional Access enforcing managed-device sign-in — but routes the bulk state change through an active reconciliation control plane rather than letting the provider data plane convert the fleet unattended. The control plane holds desired state, observes actual state, classifies drift, and reconciles toward intent; cloud identity and device management remain the data planes that authenticate and enforce at runtime.</w:t>
      </w:r>
    </w:p>
    <w:p>
      <w:pPr>
        <w:pStyle w:val="BodyText"/>
      </w:pPr>
      <w:r>
        <w:t xml:space="preserve">Concretely, the same program looks like this:</w:t>
      </w:r>
    </w:p>
    <w:p>
      <w:pPr>
        <w:numPr>
          <w:ilvl w:val="0"/>
          <w:numId w:val="1003"/>
        </w:numPr>
      </w:pPr>
      <w:r>
        <w:rPr>
          <w:b/>
          <w:bCs/>
        </w:rPr>
        <w:t xml:space="preserve">Address before you actuate.</w:t>
      </w:r>
      <w:r>
        <w:t xml:space="preserve"> </w:t>
      </w:r>
      <w:r>
        <w:t xml:space="preserve">Every device to be converted carries organizational attributes expressing its position, so the rollout can be scoped, waved, and audited in the same terms as every other plane — not by ad-hoc organizational-unit guesswork.</w:t>
      </w:r>
    </w:p>
    <w:p>
      <w:pPr>
        <w:numPr>
          <w:ilvl w:val="0"/>
          <w:numId w:val="1003"/>
        </w:numPr>
      </w:pPr>
      <w:r>
        <w:rPr>
          <w:b/>
          <w:bCs/>
        </w:rPr>
        <w:t xml:space="preserve">Cap the blast radius by class.</w:t>
      </w:r>
      <w:r>
        <w:t xml:space="preserve"> </w:t>
      </w:r>
      <w:r>
        <w:t xml:space="preserve">“Tenant-wide device-state change” and “Conditional Access enforcement change” are high-blast-radius classes that remain gated on human approval. One wrong Conditional Access toggle touching 50,000 devices is the textbook case the ceiling exists for.</w:t>
      </w:r>
    </w:p>
    <w:tbl>
      <w:tblPr>
        <w:tblStyle w:val="Table"/>
        <w:tblW w:type="pct" w:w="5000"/>
        <w:jc w:val="left"/>
        <w:tblInd w:w="720" w:type="dxa"/>
        <w:tblLayout w:type="fixed"/>
        <w:tblLook w:firstRow="1" w:lastRow="0" w:firstColumn="0" w:lastColumn="0" w:noHBand="0" w:noVBand="0" w:val="0020"/>
      </w:tblPr>
      <w:tblGrid>
        <w:gridCol w:w="2160"/>
        <w:gridCol w:w="2160"/>
        <w:gridCol w:w="3600"/>
      </w:tblGrid>
      <w:tr>
        <w:trPr>
          <w:tblHeader w:val="on"/>
        </w:trPr>
        <w:tc>
          <w:tcPr/>
          <w:p>
            <w:pPr>
              <w:pStyle w:val="Compact"/>
            </w:pPr>
            <w:r>
              <w:t xml:space="preserve">Rung</w:t>
            </w:r>
          </w:p>
        </w:tc>
        <w:tc>
          <w:tcPr/>
          <w:p>
            <w:pPr>
              <w:pStyle w:val="Compact"/>
            </w:pPr>
            <w:r>
              <w:t xml:space="preserve">Name</w:t>
            </w:r>
          </w:p>
        </w:tc>
        <w:tc>
          <w:tcPr/>
          <w:p>
            <w:pPr>
              <w:pStyle w:val="Compact"/>
            </w:pPr>
            <w:r>
              <w:t xml:space="preserve">Behavior</w:t>
            </w:r>
          </w:p>
        </w:tc>
      </w:tr>
      <w:tr>
        <w:tc>
          <w:tcPr/>
          <w:p>
            <w:pPr>
              <w:pStyle w:val="Compact"/>
            </w:pPr>
            <w:r>
              <w:rPr>
                <w:b/>
                <w:bCs/>
              </w:rPr>
              <w:t xml:space="preserve">L0</w:t>
            </w:r>
          </w:p>
        </w:tc>
        <w:tc>
          <w:tcPr/>
          <w:p>
            <w:pPr>
              <w:pStyle w:val="Compact"/>
            </w:pPr>
            <w:r>
              <w:t xml:space="preserve">Record</w:t>
            </w:r>
          </w:p>
        </w:tc>
        <w:tc>
          <w:tcPr/>
          <w:p>
            <w:pPr>
              <w:pStyle w:val="Compact"/>
            </w:pPr>
            <w:r>
              <w:t xml:space="preserve">Desired state (hybrid-join target, Conditional Access intent) recorded in the authoritative source.</w:t>
            </w:r>
          </w:p>
        </w:tc>
      </w:tr>
      <w:tr>
        <w:tc>
          <w:tcPr/>
          <w:p>
            <w:pPr>
              <w:pStyle w:val="Compact"/>
            </w:pPr>
            <w:r>
              <w:rPr>
                <w:b/>
                <w:bCs/>
              </w:rPr>
              <w:t xml:space="preserve">L1</w:t>
            </w:r>
          </w:p>
        </w:tc>
        <w:tc>
          <w:tcPr/>
          <w:p>
            <w:pPr>
              <w:pStyle w:val="Compact"/>
            </w:pPr>
            <w:r>
              <w:t xml:space="preserve">Observe</w:t>
            </w:r>
          </w:p>
        </w:tc>
        <w:tc>
          <w:tcPr/>
          <w:p>
            <w:pPr>
              <w:pStyle w:val="Compact"/>
            </w:pPr>
            <w:r>
              <w:t xml:space="preserve">Actual join state collected per device; drift detected. Read-only.</w:t>
            </w:r>
          </w:p>
        </w:tc>
      </w:tr>
      <w:tr>
        <w:tc>
          <w:tcPr/>
          <w:p>
            <w:pPr>
              <w:pStyle w:val="Compact"/>
            </w:pPr>
            <w:r>
              <w:rPr>
                <w:b/>
                <w:bCs/>
              </w:rPr>
              <w:t xml:space="preserve">L2</w:t>
            </w:r>
          </w:p>
        </w:tc>
        <w:tc>
          <w:tcPr/>
          <w:p>
            <w:pPr>
              <w:pStyle w:val="Compact"/>
            </w:pPr>
            <w:r>
              <w:t xml:space="preserve">Advise</w:t>
            </w:r>
          </w:p>
        </w:tc>
        <w:tc>
          <w:tcPr/>
          <w:p>
            <w:pPr>
              <w:pStyle w:val="Compact"/>
            </w:pPr>
            <w:r>
              <w:t xml:space="preserve">Wave plan + report-only Conditional Access change-set generated and surfaced; no writes.</w:t>
            </w:r>
          </w:p>
        </w:tc>
      </w:tr>
      <w:tr>
        <w:tc>
          <w:tcPr/>
          <w:p>
            <w:pPr>
              <w:pStyle w:val="Compact"/>
            </w:pPr>
            <w:r>
              <w:rPr>
                <w:b/>
                <w:bCs/>
              </w:rPr>
              <w:t xml:space="preserve">L3</w:t>
            </w:r>
          </w:p>
        </w:tc>
        <w:tc>
          <w:tcPr/>
          <w:p>
            <w:pPr>
              <w:pStyle w:val="Compact"/>
            </w:pPr>
            <w:r>
              <w:t xml:space="preserve">Gated actuation</w:t>
            </w:r>
          </w:p>
        </w:tc>
        <w:tc>
          <w:tcPr/>
          <w:p>
            <w:pPr>
              <w:pStyle w:val="Compact"/>
            </w:pPr>
            <w:r>
              <w:t xml:space="preserve">A human approves each wave; the control plane executes through the provider API. Default ceiling for high-blast-radius classes.</w:t>
            </w:r>
          </w:p>
        </w:tc>
      </w:tr>
      <w:tr>
        <w:tc>
          <w:tcPr/>
          <w:p>
            <w:pPr>
              <w:pStyle w:val="Compact"/>
            </w:pPr>
            <w:r>
              <w:rPr>
                <w:b/>
                <w:bCs/>
              </w:rPr>
              <w:t xml:space="preserve">L4</w:t>
            </w:r>
          </w:p>
        </w:tc>
        <w:tc>
          <w:tcPr/>
          <w:p>
            <w:pPr>
              <w:pStyle w:val="Compact"/>
            </w:pPr>
            <w:r>
              <w:t xml:space="preserve">Autonomous</w:t>
            </w:r>
          </w:p>
        </w:tc>
        <w:tc>
          <w:tcPr/>
          <w:p>
            <w:pPr>
              <w:pStyle w:val="Compact"/>
            </w:pPr>
            <w:r>
              <w:t xml:space="preserve">Not permitted for this class — high blast radius, permanently capped.</w:t>
            </w:r>
          </w:p>
        </w:tc>
      </w:tr>
    </w:tbl>
    <w:p>
      <w:pPr>
        <w:numPr>
          <w:ilvl w:val="0"/>
          <w:numId w:val="1003"/>
        </w:numPr>
      </w:pPr>
      <w:r>
        <w:rPr>
          <w:b/>
          <w:bCs/>
        </w:rPr>
        <w:t xml:space="preserve">Execute the wave through plan and apply, not ad hoc scripts.</w:t>
      </w:r>
      <w:r>
        <w:t xml:space="preserve"> </w:t>
      </w:r>
      <w:r>
        <w:t xml:space="preserve">The plan method diffs the declared target state against the observed state and returns a list of operations without making a single API call. Apply in dry-run mode evaluates every operation and records it as would-send, and nothing reaches the provider. Promotion out of dry-run is a separate, explicit call an operator makes per wave after review. Certain operation classes always require human sign-off and cannot be silently swept past.</w:t>
      </w:r>
    </w:p>
    <w:p>
      <w:pPr>
        <w:numPr>
          <w:ilvl w:val="0"/>
          <w:numId w:val="1003"/>
        </w:numPr>
      </w:pPr>
      <w:r>
        <w:rPr>
          <w:b/>
          <w:bCs/>
        </w:rPr>
        <w:t xml:space="preserve">Bake the enforcement.</w:t>
      </w:r>
      <w:r>
        <w:t xml:space="preserve"> </w:t>
      </w:r>
      <w:r>
        <w:t xml:space="preserve">Conditional Access runs report-only first; the control plane reconciles “registered and compliant” coverage against the attribute-scoped target population before any wave flips Conditional Access to enforce — so the lockout failure mode cannot occur silently.</w:t>
      </w:r>
    </w:p>
    <w:p>
      <w:pPr>
        <w:numPr>
          <w:ilvl w:val="0"/>
          <w:numId w:val="1003"/>
        </w:numPr>
      </w:pPr>
      <w:r>
        <w:rPr>
          <w:b/>
          <w:bCs/>
        </w:rPr>
        <w:t xml:space="preserve">Reconcile duplicates and lifecycle.</w:t>
      </w:r>
      <w:r>
        <w:t xml:space="preserve"> </w:t>
      </w:r>
      <w:r>
        <w:t xml:space="preserve">Phantom and stale device objects are classified as drift and resolved against the authoritative source, not left to inflate the managed-device count.</w:t>
      </w:r>
    </w:p>
    <w:p>
      <w:pPr>
        <w:numPr>
          <w:ilvl w:val="0"/>
          <w:numId w:val="1003"/>
        </w:numPr>
      </w:pPr>
      <w:r>
        <w:rPr>
          <w:b/>
          <w:bCs/>
        </w:rPr>
        <w:t xml:space="preserve">Emit evidence an authorizing official can sign.</w:t>
      </w:r>
      <w:r>
        <w:t xml:space="preserve"> </w:t>
      </w:r>
      <w:r>
        <w:t xml:space="preserve">Every wave produces signed plan / apply / reconcile evidence. The accreditation sentence is not “it enforces managed-device sign-in” but “this operation class is gated, with dry-run record and rollback.”</w:t>
      </w:r>
    </w:p>
    <w:p>
      <w:pPr>
        <w:numPr>
          <w:ilvl w:val="0"/>
          <w:numId w:val="1003"/>
        </w:numPr>
      </w:pPr>
      <w:r>
        <w:rPr>
          <w:b/>
          <w:bCs/>
        </w:rPr>
        <w:t xml:space="preserve">Cover the whole denominator.</w:t>
      </w:r>
      <w:r>
        <w:t xml:space="preserve"> </w:t>
      </w:r>
      <w:r>
        <w:t xml:space="preserve">Non-Windows, bring-your-own-device, and guest surfaces are driven through device-management-first onboarding so the control is satisfied for its real population, not just the Windows slice.</w:t>
      </w:r>
    </w:p>
    <w:p>
      <w:pPr>
        <w:pStyle w:val="FirstParagraph"/>
      </w:pPr>
      <w:r>
        <w:t xml:space="preserve">The end state is the same as the ungoverned flip. The difference is that every one of the 50,000 changes is</w:t>
      </w:r>
      <w:r>
        <w:t xml:space="preserve"> </w:t>
      </w:r>
      <w:r>
        <w:rPr>
          <w:b/>
          <w:bCs/>
        </w:rPr>
        <w:t xml:space="preserve">owned, addressable, attributable, reversible, and accredited</w:t>
      </w:r>
      <w:r>
        <w:t xml:space="preserve"> </w:t>
      </w:r>
      <w:r>
        <w:t xml:space="preserve">— the loss ledger is paid down rather than run up.</w:t>
      </w:r>
    </w:p>
    <w:bookmarkEnd w:id="15"/>
    <w:bookmarkStart w:id="16" w:name="call-to-action"/>
    <w:p>
      <w:pPr>
        <w:pStyle w:val="Heading2"/>
      </w:pPr>
      <w:r>
        <w:t xml:space="preserve">Call to Action</w:t>
      </w:r>
    </w:p>
    <w:p>
      <w:pPr>
        <w:pStyle w:val="Compact"/>
        <w:numPr>
          <w:ilvl w:val="0"/>
          <w:numId w:val="1004"/>
        </w:numPr>
      </w:pPr>
      <w:r>
        <w:t xml:space="preserve">Determine whether the ungoverned path is already live (service connection point and Group Policy auto-registration, and since when).</w:t>
      </w:r>
    </w:p>
    <w:p>
      <w:pPr>
        <w:pStyle w:val="Compact"/>
        <w:numPr>
          <w:ilvl w:val="0"/>
          <w:numId w:val="1004"/>
        </w:numPr>
      </w:pPr>
      <w:r>
        <w:t xml:space="preserve">Run the fleet against the loss ledger before any Conditional Access policy enforces managed-device sign-in.</w:t>
      </w:r>
    </w:p>
    <w:p>
      <w:pPr>
        <w:pStyle w:val="Compact"/>
        <w:numPr>
          <w:ilvl w:val="0"/>
          <w:numId w:val="1004"/>
        </w:numPr>
      </w:pPr>
      <w:r>
        <w:t xml:space="preserve">Name the wave owner who holds the plan, the approvals, and the rollback.</w:t>
      </w:r>
    </w:p>
    <w:p>
      <w:pPr>
        <w:pStyle w:val="Compact"/>
        <w:numPr>
          <w:ilvl w:val="0"/>
          <w:numId w:val="1004"/>
        </w:numPr>
      </w:pPr>
      <w:r>
        <w:t xml:space="preserve">Sequence the first wave in report-only mode, scoped by organizational attributes, and gate the move to enforcement on coverage data.</w:t>
      </w:r>
    </w:p>
    <w:p>
      <w:r>
        <w:pict>
          <v:rect style="width:0;height:1.5pt" o:hralign="center" o:hrstd="t" o:hr="t"/>
        </w:pict>
      </w:r>
    </w:p>
    <w:p>
      <w:pPr>
        <w:pStyle w:val="FirstParagraph"/>
      </w:pPr>
      <w:r>
        <w:rPr>
          <w:i/>
          <w:iCs/>
        </w:rPr>
        <w:t xml:space="preserve">Cleaned extraction for project use. No internal branding or document identifiers.</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2026-10-19T10:11:50Z</dcterms:created>
  <dcterms:modified xsi:type="dcterms:W3CDTF">2026-10-19T10:11:50Z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