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Next Generation DNS</w:t>
      </w:r>
    </w:p>
    <w:p>
      <w:pPr>
        <w:pStyle w:val="Subtitle"/>
      </w:pPr>
      <w:r>
        <w:t xml:space="preserve">How DNS evolved from a name-lookup service into the application surface, the security enforcement plane, and the identity substrate of the hybrid multi-cloud enterprise — and what federal agencies must do to govern it</w:t>
      </w:r>
    </w:p>
    <w:p>
      <w:pPr>
        <w:pStyle w:val="Author"/>
      </w:pPr>
      <w:r>
        <w:t xml:space="preserve">Michael Stratton</w:t>
      </w:r>
    </w:p>
    <w:p>
      <w:pPr>
        <w:pStyle w:val="Date"/>
      </w:pPr>
      <w:r>
        <w:t xml:space="preserve">2026-06-01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01" w:name="next-generation-dns"/>
    <w:p>
      <w:pPr>
        <w:pStyle w:val="Heading1"/>
      </w:pPr>
      <w:r>
        <w:t xml:space="preserve">Next Generation DNS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Problem, solution, ask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Problem.</w:t>
            </w:r>
            <w:r>
              <w:t xml:space="preserve"> </w:t>
            </w:r>
            <w:r>
              <w:t xml:space="preserve">DNS has quietly become the application surface, the security</w:t>
            </w:r>
            <w:r>
              <w:t xml:space="preserve"> </w:t>
            </w:r>
            <w:r>
              <w:t xml:space="preserve">enforcement plane, and the PKI and identity substrate of the hybrid</w:t>
            </w:r>
            <w:r>
              <w:t xml:space="preserve"> </w:t>
            </w:r>
            <w:r>
              <w:t xml:space="preserve">multi-cloud enterprise — and agencies still run it as a commodity utility</w:t>
            </w:r>
            <w:r>
              <w:t xml:space="preserve"> </w:t>
            </w:r>
            <w:r>
              <w:t xml:space="preserve">across five independent platforms (AD DNS/NIOS, Route 53, Azure Private DNS,</w:t>
            </w:r>
            <w:r>
              <w:t xml:space="preserve"> </w:t>
            </w:r>
            <w:r>
              <w:t xml:space="preserve">Cloud DNS, NSX-T). The result is split-brain DNS that breaks private</w:t>
            </w:r>
            <w:r>
              <w:t xml:space="preserve"> </w:t>
            </w:r>
            <w:r>
              <w:t xml:space="preserve">connectivity, SaaS endpoint selection, certificate trust, and Layer 7</w:t>
            </w:r>
            <w:r>
              <w:t xml:space="preserve"> </w:t>
            </w:r>
            <w:r>
              <w:t xml:space="preserve">zero-trust policy at once — surfacing as certificate errors and access</w:t>
            </w:r>
            <w:r>
              <w:t xml:space="preserve"> </w:t>
            </w:r>
            <w:r>
              <w:t xml:space="preserve">denials, never as DNS errors.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Solution.</w:t>
            </w:r>
            <w:r>
              <w:t xml:space="preserve"> </w:t>
            </w:r>
            <w:r>
              <w:t xml:space="preserve">One policy plane — Infoblox Universal DDI — propagating DNS,</w:t>
            </w:r>
            <w:r>
              <w:t xml:space="preserve"> </w:t>
            </w:r>
            <w:r>
              <w:t xml:space="preserve">DHCP, and IPAM state to all five surfaces, with Cisco Catalyst SD-WAN’s</w:t>
            </w:r>
            <w:r>
              <w:t xml:space="preserve"> </w:t>
            </w:r>
            <w:r>
              <w:rPr>
                <w:rStyle w:val="VerbatimChar"/>
              </w:rPr>
              <w:t xml:space="preserve">redirect-dns</w:t>
            </w:r>
            <w:r>
              <w:t xml:space="preserve"> </w:t>
            </w:r>
            <w:r>
              <w:t xml:space="preserve">pointed at it rather than around it, and a reference</w:t>
            </w:r>
            <w:r>
              <w:t xml:space="preserve"> </w:t>
            </w:r>
            <w:r>
              <w:t xml:space="preserve">architecture (Part 10) that concentrates the operational risk in five</w:t>
            </w:r>
            <w:r>
              <w:t xml:space="preserve"> </w:t>
            </w:r>
            <w:r>
              <w:t xml:space="preserve">configuration decisions.</w:t>
            </w:r>
          </w:p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Ask.</w:t>
            </w:r>
            <w:r>
              <w:t xml:space="preserve"> </w:t>
            </w:r>
            <w:r>
              <w:t xml:space="preserve">Before the next SD-WAN or DDI change: audit every branch’s</w:t>
            </w:r>
            <w:r>
              <w:t xml:space="preserve"> </w:t>
            </w:r>
            <w:r>
              <w:rPr>
                <w:rStyle w:val="VerbatimChar"/>
              </w:rPr>
              <w:t xml:space="preserve">redirect-dns</w:t>
            </w:r>
            <w:r>
              <w:t xml:space="preserve"> </w:t>
            </w:r>
            <w:r>
              <w:t xml:space="preserve">target, verify the forwarding-chain order in the running</w:t>
            </w:r>
            <w:r>
              <w:t xml:space="preserve"> </w:t>
            </w:r>
            <w:r>
              <w:t xml:space="preserve">configuration, inventory AD DNS records before decommissioning any domain</w:t>
            </w:r>
            <w:r>
              <w:t xml:space="preserve"> </w:t>
            </w:r>
            <w:r>
              <w:t xml:space="preserve">controller, confirm the sovereign-cloud (GCC/DoD) INR gap with the program</w:t>
            </w:r>
            <w:r>
              <w:t xml:space="preserve"> </w:t>
            </w:r>
            <w:r>
              <w:t xml:space="preserve">office, and take Appendix B’s open questions to Infoblox and Cisco directly.</w:t>
            </w:r>
            <w:r>
              <w:t xml:space="preserve"> </w:t>
            </w:r>
            <w:r>
              <w:t xml:space="preserve">The five steps are in the Call to Action.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In this whitepaper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DNS was designed in 1983 to answer one question: what is the IP address for</w:t>
            </w:r>
            <w:r>
              <w:t xml:space="preserve"> </w:t>
            </w:r>
            <w:r>
              <w:t xml:space="preserve">this hostname? Four decades later, it answers a much larger set of questions —</w:t>
            </w:r>
            <w:r>
              <w:t xml:space="preserve"> </w:t>
            </w:r>
            <w:r>
              <w:t xml:space="preserve">and federal agencies that treat DNS as a commodity network utility are</w:t>
            </w:r>
            <w:r>
              <w:t xml:space="preserve"> </w:t>
            </w:r>
            <w:r>
              <w:t xml:space="preserve">systematically underestimating how much of their security posture, application</w:t>
            </w:r>
            <w:r>
              <w:t xml:space="preserve"> </w:t>
            </w:r>
            <w:r>
              <w:t xml:space="preserve">availability, certificate trust chain, and identity infrastructure now depends</w:t>
            </w:r>
            <w:r>
              <w:t xml:space="preserve"> </w:t>
            </w:r>
            <w:r>
              <w:t xml:space="preserve">on DNS being correct, consistent, and governed.</w:t>
            </w:r>
          </w:p>
          <w:p>
            <w:pPr>
              <w:pStyle w:val="BodyText"/>
            </w:pPr>
            <w:r>
              <w:t xml:space="preserve">This paper makes ten arguments, one per part. Taken together, they describe</w:t>
            </w:r>
            <w:r>
              <w:t xml:space="preserve"> </w:t>
            </w:r>
            <w:r>
              <w:t xml:space="preserve">a discipline that has quietly become the most consequential ungoverned surface</w:t>
            </w:r>
            <w:r>
              <w:t xml:space="preserve"> </w:t>
            </w:r>
            <w:r>
              <w:t xml:space="preserve">in the federal enterprise: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Every major cloud provider and on-premises virtualization platform ships</w:t>
            </w:r>
            <w:r>
              <w:t xml:space="preserve"> </w:t>
            </w:r>
            <w:r>
              <w:t xml:space="preserve">its own independent DNS service. The aggregate result is a fragmented DNS</w:t>
            </w:r>
            <w:r>
              <w:t xml:space="preserve"> </w:t>
            </w:r>
            <w:r>
              <w:t xml:space="preserve">landscape that no single team manages end-to-end.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When DNS is fragmented, a class of failure called</w:t>
            </w:r>
            <w:r>
              <w:t xml:space="preserve"> </w:t>
            </w:r>
            <w:r>
              <w:rPr>
                <w:b/>
                <w:bCs/>
              </w:rPr>
              <w:t xml:space="preserve">split-brain DNS</w:t>
            </w:r>
            <w:r>
              <w:t xml:space="preserve"> </w:t>
            </w:r>
            <w:r>
              <w:t xml:space="preserve">emerges:</w:t>
            </w:r>
            <w:r>
              <w:t xml:space="preserve"> </w:t>
            </w:r>
            <w:r>
              <w:t xml:space="preserve">the same query resolves to different answers depending on where it originates.</w:t>
            </w:r>
            <w:r>
              <w:t xml:space="preserve"> </w:t>
            </w:r>
            <w:r>
              <w:t xml:space="preserve">This breaks private IP addressing, public SaaS endpoint selection, and</w:t>
            </w:r>
            <w:r>
              <w:t xml:space="preserve"> </w:t>
            </w:r>
            <w:r>
              <w:t xml:space="preserve">security policy enforcement simultaneously.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DNS is not a single record type — it is a protocol with more than fifty</w:t>
            </w:r>
            <w:r>
              <w:t xml:space="preserve"> </w:t>
            </w:r>
            <w:r>
              <w:t xml:space="preserve">standardized record types, at least fifteen of which are directly relevant</w:t>
            </w:r>
            <w:r>
              <w:t xml:space="preserve"> </w:t>
            </w:r>
            <w:r>
              <w:t xml:space="preserve">to federal security, certificate governance, email authentication, and</w:t>
            </w:r>
            <w:r>
              <w:t xml:space="preserve"> </w:t>
            </w:r>
            <w:r>
              <w:t xml:space="preserve">application-aware routing. A/AAAA/CNAME are the floor, not the ceiling.</w:t>
            </w:r>
            <w:r>
              <w:t xml:space="preserve"> </w:t>
            </w:r>
            <w:r>
              <w:t xml:space="preserve">SRV, CAA, TLSA, SSHFP, SPF, DKIM, DMARC, HTTPS/SVCB, and DNSSEC types</w:t>
            </w:r>
            <w:r>
              <w:t xml:space="preserve"> </w:t>
            </w:r>
            <w:r>
              <w:t xml:space="preserve">each carry their own split-brain failure modes.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Active Directory has served as the hidden DNS substrate for on-premises</w:t>
            </w:r>
            <w:r>
              <w:t xml:space="preserve"> </w:t>
            </w:r>
            <w:r>
              <w:t xml:space="preserve">federal networks for twenty years. As agencies retire AD and migrate to</w:t>
            </w:r>
            <w:r>
              <w:t xml:space="preserve"> </w:t>
            </w:r>
            <w:r>
              <w:t xml:space="preserve">Entra ID (Microsoft recommends a cloud-first model, though AD DS remains</w:t>
            </w:r>
            <w:r>
              <w:t xml:space="preserve"> </w:t>
            </w:r>
            <w:r>
              <w:t xml:space="preserve">supported in Windows Server 2025</w:t>
            </w:r>
            <w:r>
              <w:rPr>
                <w:rStyle w:val="FootnoteReference"/>
              </w:rPr>
              <w:footnoteReference w:id="15"/>
            </w:r>
            <w:r>
              <w:t xml:space="preserve">), the DNS records AD maintained — service locators,</w:t>
            </w:r>
            <w:r>
              <w:t xml:space="preserve"> </w:t>
            </w:r>
            <w:r>
              <w:t xml:space="preserve">Kerberos targets, LDAP endpoints — do not migrate automatically. This</w:t>
            </w:r>
            <w:r>
              <w:t xml:space="preserve"> </w:t>
            </w:r>
            <w:r>
              <w:t xml:space="preserve">creates a category of DNS orphaning that is not yet widely understood.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As Kerberos is replaced by token-based authentication, DNS does not become</w:t>
            </w:r>
            <w:r>
              <w:t xml:space="preserve"> </w:t>
            </w:r>
            <w:r>
              <w:t xml:space="preserve">less important — it becomes more so. Token audience claims reference FQDNs.</w:t>
            </w:r>
            <w:r>
              <w:t xml:space="preserve"> </w:t>
            </w:r>
            <w:r>
              <w:t xml:space="preserve">Certificate Subject Alternative Names reference FQDNs. OCSP validation</w:t>
            </w:r>
            <w:r>
              <w:t xml:space="preserve"> </w:t>
            </w:r>
            <w:r>
              <w:t xml:space="preserve">endpoints are FQDNs. A split-brain DNS condition in a token/PKI environment</w:t>
            </w:r>
            <w:r>
              <w:t xml:space="preserve"> </w:t>
            </w:r>
            <w:r>
              <w:t xml:space="preserve">produces certificate validation failures that are significantly harder to</w:t>
            </w:r>
            <w:r>
              <w:t xml:space="preserve"> </w:t>
            </w:r>
            <w:r>
              <w:t xml:space="preserve">diagnose than Kerberos authentication failures.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As agencies transition from Layer 4 session networking to Layer 7</w:t>
            </w:r>
            <w:r>
              <w:t xml:space="preserve"> </w:t>
            </w:r>
            <w:r>
              <w:t xml:space="preserve">application networking — service meshes, API gateways, zero trust proxies —</w:t>
            </w:r>
            <w:r>
              <w:t xml:space="preserve"> </w:t>
            </w:r>
            <w:r>
              <w:t xml:space="preserve">DNS subdomains become the definition of the application surface. A wildcard</w:t>
            </w:r>
            <w:r>
              <w:t xml:space="preserve"> </w:t>
            </w:r>
            <w:r>
              <w:t xml:space="preserve">DNS entry (</w:t>
            </w:r>
            <w:r>
              <w:rPr>
                <w:rStyle w:val="VerbatimChar"/>
              </w:rPr>
              <w:t xml:space="preserve">*.api.agency.gov</w:t>
            </w:r>
            <w:r>
              <w:t xml:space="preserve">) now describes a namespace of applications,</w:t>
            </w:r>
            <w:r>
              <w:t xml:space="preserve"> </w:t>
            </w:r>
            <w:r>
              <w:t xml:space="preserve">not a single host. DNS management is application surface management.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Infoblox Universal DDI is the industry’s most complete answer to this</w:t>
            </w:r>
            <w:r>
              <w:t xml:space="preserve"> </w:t>
            </w:r>
            <w:r>
              <w:t xml:space="preserve">governance problem. Its IPAM, DNS, and DHCP management capabilities span</w:t>
            </w:r>
            <w:r>
              <w:t xml:space="preserve"> </w:t>
            </w:r>
            <w:r>
              <w:t xml:space="preserve">on-premises NIOS, all three major CSPs, and edge providers — and its</w:t>
            </w:r>
            <w:r>
              <w:t xml:space="preserve"> </w:t>
            </w:r>
            <w:r>
              <w:t xml:space="preserve">security feature set (RPZ, DNSSEC, BloxOne Threat Defense) applies policy</w:t>
            </w:r>
            <w:r>
              <w:t xml:space="preserve"> </w:t>
            </w:r>
            <w:r>
              <w:t xml:space="preserve">consistently across every surface it manages.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Cisco Catalyst SD-WAN — the only Microsoft-certified INR partner —</w:t>
            </w:r>
            <w:r>
              <w:t xml:space="preserve"> </w:t>
            </w:r>
            <w:r>
              <w:t xml:space="preserve">intercepts DNS at the branch in ways that can silently bypass the Infoblox</w:t>
            </w:r>
            <w:r>
              <w:t xml:space="preserve"> </w:t>
            </w:r>
            <w:r>
              <w:t xml:space="preserve">policy plane if not correctly configured. This interaction is undocumented</w:t>
            </w:r>
            <w:r>
              <w:t xml:space="preserve"> </w:t>
            </w:r>
            <w:r>
              <w:t xml:space="preserve">by either vendor.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Federal agencies operating in GCC Moderate, GCC High, or DoD sovereign</w:t>
            </w:r>
            <w:r>
              <w:t xml:space="preserve"> </w:t>
            </w:r>
            <w:r>
              <w:t xml:space="preserve">cloud environments cannot use Microsoft INR. The Infoblox DDI architecture</w:t>
            </w:r>
            <w:r>
              <w:t xml:space="preserve"> </w:t>
            </w:r>
            <w:r>
              <w:t xml:space="preserve">is unchanged; only the SD-WAN telemetry loop is absent.</w:t>
            </w:r>
          </w:p>
          <w:p>
            <w:pPr>
              <w:pStyle w:val="FirstParagraph"/>
            </w:pPr>
            <w:r>
              <w:t xml:space="preserve">For the per-CSP implementation of the architecture this paper argues for —</w:t>
            </w:r>
            <w:r>
              <w:t xml:space="preserve"> </w:t>
            </w:r>
            <w:r>
              <w:t xml:space="preserve">landing-zone-level Infoblox DDI build-out on Azure, AWS, GCP, OCI, and</w:t>
            </w:r>
            <w:r>
              <w:t xml:space="preserve"> </w:t>
            </w:r>
            <w:r>
              <w:t xml:space="preserve">VMware with a governed ServiceNow front door — see the companion</w:t>
            </w:r>
            <w:r>
              <w:t xml:space="preserve"> </w:t>
            </w:r>
            <w:r>
              <w:t xml:space="preserve">Volume VIII — Multi-Cloud DDI Landing-Zone Automation</w:t>
            </w:r>
            <w:r>
              <w:t xml:space="preserve"> </w:t>
            </w:r>
            <w:r>
              <w:t xml:space="preserve">of the Federal Compliance series. The architecture-level</w:t>
            </w:r>
            <w:r>
              <w:t xml:space="preserve"> </w:t>
            </w:r>
            <w:r>
              <w:t xml:space="preserve">foundation — Infoblox as the SDN-aware IPAM control plane inside a</w:t>
            </w:r>
            <w:r>
              <w:t xml:space="preserve"> </w:t>
            </w:r>
            <w:r>
              <w:t xml:space="preserve">federal cloud landing zone, with the NIST 800-53 control mappings and</w:t>
            </w:r>
            <w:r>
              <w:t xml:space="preserve"> </w:t>
            </w:r>
            <w:r>
              <w:t xml:space="preserve">FedRAMP evidence this paper deliberately does not carry — is</w:t>
            </w:r>
            <w:r>
              <w:t xml:space="preserve"> </w:t>
            </w:r>
            <w:r>
              <w:t xml:space="preserve">Vol I Book 01 (Cloud Landing Zone, IPAM, FedRAMP)</w:t>
            </w:r>
            <w:r>
              <w:t xml:space="preserve"> </w:t>
            </w:r>
            <w:r>
              <w:t xml:space="preserve">of the same series. This paper owns the argument; those volumes own the</w:t>
            </w:r>
            <w:r>
              <w:t xml:space="preserve"> </w:t>
            </w:r>
            <w:r>
              <w:t xml:space="preserve">build and the control closure.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A complete reference architecture unifying all of the above — ten-part</w:t>
            </w:r>
            <w:r>
              <w:t xml:space="preserve"> </w:t>
            </w:r>
            <w:r>
              <w:t xml:space="preserve">governance model, record type surface, AD DNS departure, cert-DNS surface,</w:t>
            </w:r>
            <w:r>
              <w:t xml:space="preserve"> </w:t>
            </w:r>
            <w:r>
              <w:t xml:space="preserve">Layer 7 application namespace, Infoblox DDI management plane, and SD-WAN</w:t>
            </w:r>
            <w:r>
              <w:t xml:space="preserve"> </w:t>
            </w:r>
            <w:r>
              <w:t xml:space="preserve">interception chain — does not exist in any vendor publication. It is</w:t>
            </w:r>
            <w:r>
              <w:t xml:space="preserve"> </w:t>
            </w:r>
            <w:r>
              <w:t xml:space="preserve">synthesized here from first principles, vendor documentation, and RFC-level</w:t>
            </w:r>
            <w:r>
              <w:t xml:space="preserve"> </w:t>
            </w:r>
            <w:r>
              <w:t xml:space="preserve">behavior.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For decision makers: read this page first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paper’s argument in one pass, without the record-type taxonomy first:</w:t>
            </w:r>
            <w:r>
              <w:t xml:space="preserve"> </w:t>
            </w:r>
            <w:r>
              <w:t xml:space="preserve">DNS fragmentation across five independent platforms — on-premises AD</w:t>
            </w:r>
            <w:r>
              <w:t xml:space="preserve"> </w:t>
            </w:r>
            <w:r>
              <w:t xml:space="preserve">DNS/NIOS, AWS Route 53, Azure Private DNS, GCP Cloud DNS, and VMware NSX-T —</w:t>
            </w:r>
            <w:r>
              <w:t xml:space="preserve"> </w:t>
            </w:r>
            <w:r>
              <w:t xml:space="preserve">produces</w:t>
            </w:r>
            <w:r>
              <w:t xml:space="preserve"> </w:t>
            </w:r>
            <w:r>
              <w:rPr>
                <w:b/>
                <w:bCs/>
              </w:rPr>
              <w:t xml:space="preserve">split-brain DNS</w:t>
            </w:r>
            <w:r>
              <w:t xml:space="preserve">, the same query resolving to different answers</w:t>
            </w:r>
            <w:r>
              <w:t xml:space="preserve"> </w:t>
            </w:r>
            <w:r>
              <w:t xml:space="preserve">depending on where it originates. That is not a lookup-utility inconvenience;</w:t>
            </w:r>
            <w:r>
              <w:t xml:space="preserve"> </w:t>
            </w:r>
            <w:r>
              <w:t xml:space="preserve">it now breaks private connectivity, SaaS endpoint selection, certificate/PKI</w:t>
            </w:r>
            <w:r>
              <w:t xml:space="preserve"> </w:t>
            </w:r>
            <w:r>
              <w:t xml:space="preserve">trust, and Layer 7 zero trust policy simultaneously. Infoblox Universal DDI</w:t>
            </w:r>
            <w:r>
              <w:t xml:space="preserve"> </w:t>
            </w:r>
            <w:r>
              <w:t xml:space="preserve">is the structural fix: one policy plane that propagates DNS, DHCP, and IPAM</w:t>
            </w:r>
            <w:r>
              <w:t xml:space="preserve"> </w:t>
            </w:r>
            <w:r>
              <w:t xml:space="preserve">state to all five surfaces at once, so consistency is answered by the</w:t>
            </w:r>
            <w:r>
              <w:t xml:space="preserve"> </w:t>
            </w:r>
            <w:r>
              <w:t xml:space="preserve">control plane instead of by manual audit.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Five things every decision maker needs to understand: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Split-brain DNS is a structural property of independent per-CSP DNS,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not a bug to patch.</w:t>
            </w:r>
            <w:r>
              <w:t xml:space="preserve"> </w:t>
            </w:r>
            <w:r>
              <w:t xml:space="preserve">Runbooks and audits cannot keep pace with the</w:t>
            </w:r>
            <w:r>
              <w:t xml:space="preserve"> </w:t>
            </w:r>
            <w:r>
              <w:t xml:space="preserve">change rate across five systems with five different APIs and</w:t>
            </w:r>
            <w:r>
              <w:t xml:space="preserve"> </w:t>
            </w:r>
            <w:r>
              <w:t xml:space="preserve">consistency models (Part 2).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DNS is now a security and PKI dependency, not just a lookup utility.</w:t>
            </w:r>
            <w:r>
              <w:t xml:space="preserve"> </w:t>
            </w:r>
            <w:r>
              <w:t xml:space="preserve">Certificate validation, OCSP/CRL reachability, token audience claims, and</w:t>
            </w:r>
            <w:r>
              <w:t xml:space="preserve"> </w:t>
            </w:r>
            <w:r>
              <w:t xml:space="preserve">zero trust FQDN-based policy all silently fail under split-brain DNS —</w:t>
            </w:r>
            <w:r>
              <w:t xml:space="preserve"> </w:t>
            </w:r>
            <w:r>
              <w:t xml:space="preserve">and the failure surfaces as a certificate error or an access denial, not</w:t>
            </w:r>
            <w:r>
              <w:t xml:space="preserve"> </w:t>
            </w:r>
            <w:r>
              <w:t xml:space="preserve">a DNS error (Parts 5–6).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Cisco Catalyst SD-WAN can silently bypass the Infoblox policy plane.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redirect-dns</w:t>
            </w:r>
            <w:r>
              <w:t xml:space="preserve"> </w:t>
            </w:r>
            <w:r>
              <w:t xml:space="preserve">destination configured at the branch determines</w:t>
            </w:r>
            <w:r>
              <w:t xml:space="preserve"> </w:t>
            </w:r>
            <w:r>
              <w:t xml:space="preserve">whether Universal DDI’s RPZ, DNSSEC, and IPAM policy apply at all —</w:t>
            </w:r>
            <w:r>
              <w:t xml:space="preserve"> </w:t>
            </w:r>
            <w:r>
              <w:t xml:space="preserve">misconfigure it and every branch query becomes invisible to the</w:t>
            </w:r>
            <w:r>
              <w:t xml:space="preserve"> </w:t>
            </w:r>
            <w:r>
              <w:t xml:space="preserve">governance layer (Part 8).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Federal sovereign cloud tenants — GCC Moderate, GCC High, DoD — cannot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use Microsoft’s INR telemetry loop at all.</w:t>
            </w:r>
            <w:r>
              <w:t xml:space="preserve"> </w:t>
            </w:r>
            <w:r>
              <w:t xml:space="preserve">The Infoblox DDI</w:t>
            </w:r>
            <w:r>
              <w:t xml:space="preserve"> </w:t>
            </w:r>
            <w:r>
              <w:t xml:space="preserve">architecture is unaffected, but any plan that treats INR as a fallback</w:t>
            </w:r>
            <w:r>
              <w:t xml:space="preserve"> </w:t>
            </w:r>
            <w:r>
              <w:t xml:space="preserve">is planning around a gap that does not close (Part 9).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Five configuration decisions carry essentially all of this paper’s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operational risk: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redirect-dns</w:t>
            </w:r>
            <w:r>
              <w:t xml:space="preserve"> </w:t>
            </w:r>
            <w:r>
              <w:t xml:space="preserve">target, the forwarding chain</w:t>
            </w:r>
            <w:r>
              <w:t xml:space="preserve"> </w:t>
            </w:r>
            <w:r>
              <w:t xml:space="preserve">order, per-CSP conditional forwarding ownership, AD DNS record inventory</w:t>
            </w:r>
            <w:r>
              <w:t xml:space="preserve"> </w:t>
            </w:r>
            <w:r>
              <w:t xml:space="preserve">before decommissioning, and OCSP/CRL reachability from every origin.</w:t>
            </w:r>
            <w:r>
              <w:t xml:space="preserve"> </w:t>
            </w:r>
            <w:r>
              <w:t xml:space="preserve">They are laid out, with nothing else required to act on them, in</w:t>
            </w:r>
            <w:r>
              <w:t xml:space="preserve"> </w:t>
            </w:r>
            <w:r>
              <w:rPr>
                <w:b/>
                <w:bCs/>
              </w:rPr>
              <w:t xml:space="preserve">Part 10.2</w:t>
            </w:r>
            <w:r>
              <w:t xml:space="preserve">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Scope boundary — Cisco Catalyst SD-WAN only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SD-WAN DNS interception analysis in Part 8 (Cisco Catalyst SD-WAN DNS Interception) addresses exclusively</w:t>
            </w:r>
            <w:r>
              <w:t xml:space="preserve"> </w:t>
            </w:r>
            <w:r>
              <w:rPr>
                <w:b/>
                <w:bCs/>
              </w:rPr>
              <w:t xml:space="preserve">Cisco Catalyst SD-WAN (IOS XE SD-WAN ≥ 20.4/17.4)</w:t>
            </w:r>
            <w:r>
              <w:t xml:space="preserve">, which as of the</w:t>
            </w:r>
            <w:r>
              <w:t xml:space="preserve"> </w:t>
            </w:r>
            <w:r>
              <w:t xml:space="preserve">Microsoft Learn INR documentation (updated 2026-03-10) is the only SD-WAN</w:t>
            </w:r>
            <w:r>
              <w:t xml:space="preserve"> </w:t>
            </w:r>
            <w:r>
              <w:t xml:space="preserve">vendor listed in the INR</w:t>
            </w:r>
            <w:r>
              <w:t xml:space="preserve"> </w:t>
            </w:r>
            <w:r>
              <w:t xml:space="preserve">“Currently enabled solutions”</w:t>
            </w:r>
            <w:r>
              <w:t xml:space="preserve"> </w:t>
            </w:r>
            <w:r>
              <w:t xml:space="preserve">table. No other SD-WAN</w:t>
            </w:r>
            <w:r>
              <w:t xml:space="preserve"> </w:t>
            </w:r>
            <w:r>
              <w:t xml:space="preserve">vendor is covered.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Start w:id="26" w:name="X921305dc4757f678e3b84568ee275094497dcfc"/>
    <w:p>
      <w:pPr>
        <w:pStyle w:val="Heading2"/>
      </w:pPr>
      <w:r>
        <w:t xml:space="preserve">Part 1 — DNS in the Modern Hybrid Multi-Cloud Enterprise</w:t>
      </w:r>
    </w:p>
    <w:bookmarkStart w:id="21" w:name="what-dns-was-designed-to-do"/>
    <w:p>
      <w:pPr>
        <w:pStyle w:val="Heading3"/>
      </w:pPr>
      <w:r>
        <w:t xml:space="preserve">1.1 What DNS was designed to do</w:t>
      </w:r>
    </w:p>
    <w:p>
      <w:pPr>
        <w:pStyle w:val="FirstParagraph"/>
      </w:pPr>
      <w:r>
        <w:t xml:space="preserve">The Domain Name System was specified in RFC 1034 and RFC 1035 in November 1987, obsoleting the November 1983 originals (RFC 882, RFC 883 and RFC 973).</w:t>
      </w:r>
      <w:r>
        <w:t xml:space="preserve"> </w:t>
      </w:r>
      <w:r>
        <w:t xml:space="preserve">Its purpose was straightforward: allow humans to use memorable hostnames</w:t>
      </w:r>
      <w:r>
        <w:t xml:space="preserve"> </w:t>
      </w:r>
      <w:r>
        <w:t xml:space="preserve">(</w:t>
      </w:r>
      <w:r>
        <w:rPr>
          <w:rStyle w:val="VerbatimChar"/>
        </w:rPr>
        <w:t xml:space="preserve">www.example.com</w:t>
      </w:r>
      <w:r>
        <w:t xml:space="preserve">) instead of numeric IP addresses (</w:t>
      </w:r>
      <w:r>
        <w:rPr>
          <w:rStyle w:val="VerbatimChar"/>
        </w:rPr>
        <w:t xml:space="preserve">93.184.216.34</w:t>
      </w:r>
      <w:r>
        <w:t xml:space="preserve">), and</w:t>
      </w:r>
      <w:r>
        <w:t xml:space="preserve"> </w:t>
      </w:r>
      <w:r>
        <w:t xml:space="preserve">give network operators a distributed, hierarchical database to publish those</w:t>
      </w:r>
      <w:r>
        <w:t xml:space="preserve"> </w:t>
      </w:r>
      <w:r>
        <w:t xml:space="preserve">mappings. DNS resolved names to addresses. That was the whole job.</w:t>
      </w:r>
    </w:p>
    <w:p>
      <w:pPr>
        <w:pStyle w:val="BodyText"/>
      </w:pPr>
      <w:r>
        <w:t xml:space="preserve">The protocol was designed for a world where every networked device had one</w:t>
      </w:r>
      <w:r>
        <w:t xml:space="preserve"> </w:t>
      </w:r>
      <w:r>
        <w:t xml:space="preserve">IP address, every service lived on a known host, and the boundary between</w:t>
      </w:r>
      <w:r>
        <w:t xml:space="preserve"> </w:t>
      </w:r>
      <w:r>
        <w:t xml:space="preserve">“inside”</w:t>
      </w:r>
      <w:r>
        <w:t xml:space="preserve"> </w:t>
      </w:r>
      <w:r>
        <w:t xml:space="preserve">and</w:t>
      </w:r>
      <w:r>
        <w:t xml:space="preserve"> </w:t>
      </w:r>
      <w:r>
        <w:t xml:space="preserve">“outside”</w:t>
      </w:r>
      <w:r>
        <w:t xml:space="preserve"> </w:t>
      </w:r>
      <w:r>
        <w:t xml:space="preserve">a network was a physical wire. The recursive resolver</w:t>
      </w:r>
      <w:r>
        <w:t xml:space="preserve"> </w:t>
      </w:r>
      <w:r>
        <w:t xml:space="preserve">in a university computer center forwarded queries to authoritative name servers</w:t>
      </w:r>
      <w:r>
        <w:t xml:space="preserve"> </w:t>
      </w:r>
      <w:r>
        <w:t xml:space="preserve">on the internet; those servers answered; the answer was cached and served to</w:t>
      </w:r>
      <w:r>
        <w:t xml:space="preserve"> </w:t>
      </w:r>
      <w:r>
        <w:t xml:space="preserve">local clients. The model was elegant, scalable, and sufficient for its era.</w:t>
      </w:r>
    </w:p>
    <w:p>
      <w:pPr>
        <w:pStyle w:val="BodyText"/>
      </w:pPr>
      <w:r>
        <w:t xml:space="preserve">That era ended.</w:t>
      </w:r>
    </w:p>
    <w:bookmarkEnd w:id="21"/>
    <w:bookmarkStart w:id="22" w:name="what-dns-has-become"/>
    <w:p>
      <w:pPr>
        <w:pStyle w:val="Heading3"/>
      </w:pPr>
      <w:r>
        <w:t xml:space="preserve">1.2 What DNS has become</w:t>
      </w:r>
    </w:p>
    <w:p>
      <w:pPr>
        <w:pStyle w:val="FirstParagraph"/>
      </w:pPr>
      <w:r>
        <w:t xml:space="preserve">In a modern federal hybrid multi-cloud environment, DNS performs a list of</w:t>
      </w:r>
      <w:r>
        <w:t xml:space="preserve"> </w:t>
      </w:r>
      <w:r>
        <w:t xml:space="preserve">functions its designers did not anticipate:</w:t>
      </w:r>
    </w:p>
    <w:p>
      <w:pPr>
        <w:pStyle w:val="BodyText"/>
      </w:pPr>
      <w:r>
        <w:rPr>
          <w:b/>
          <w:bCs/>
        </w:rPr>
        <w:t xml:space="preserve">Private address publication.</w:t>
      </w:r>
      <w:r>
        <w:t xml:space="preserve"> </w:t>
      </w:r>
      <w:r>
        <w:t xml:space="preserve">Cloud platforms publish RFC 1918 addresses</w:t>
      </w:r>
      <w:r>
        <w:t xml:space="preserve"> </w:t>
      </w:r>
      <w:r>
        <w:t xml:space="preserve">for private endpoints, internal load balancers, and inter-service communication</w:t>
      </w:r>
      <w:r>
        <w:t xml:space="preserve"> </w:t>
      </w:r>
      <w:r>
        <w:t xml:space="preserve">through DNS. These addresses are meaningless — and unreachable — from outside</w:t>
      </w:r>
      <w:r>
        <w:t xml:space="preserve"> </w:t>
      </w:r>
      <w:r>
        <w:t xml:space="preserve">the network boundary where they were assigned. DNS must answer differently</w:t>
      </w:r>
      <w:r>
        <w:t xml:space="preserve"> </w:t>
      </w:r>
      <w:r>
        <w:t xml:space="preserve">depending on where the query comes from.</w:t>
      </w:r>
    </w:p>
    <w:p>
      <w:pPr>
        <w:pStyle w:val="BodyText"/>
      </w:pPr>
      <w:r>
        <w:rPr>
          <w:b/>
          <w:bCs/>
        </w:rPr>
        <w:t xml:space="preserve">Public SaaS endpoint selection.</w:t>
      </w:r>
      <w:r>
        <w:t xml:space="preserve"> </w:t>
      </w:r>
      <w:r>
        <w:t xml:space="preserve">Services like Microsoft 365 use DNS to</w:t>
      </w:r>
      <w:r>
        <w:t xml:space="preserve"> </w:t>
      </w:r>
      <w:r>
        <w:t xml:space="preserve">direct clients to the correct cloud environment. A GCC Moderate tenant must</w:t>
      </w:r>
      <w:r>
        <w:t xml:space="preserve"> </w:t>
      </w:r>
      <w:r>
        <w:t xml:space="preserve">resolve</w:t>
      </w:r>
      <w:r>
        <w:t xml:space="preserve"> </w:t>
      </w:r>
      <w:r>
        <w:rPr>
          <w:rStyle w:val="VerbatimChar"/>
        </w:rPr>
        <w:t xml:space="preserve">outlook.office365.com</w:t>
      </w:r>
      <w:r>
        <w:t xml:space="preserve"> </w:t>
      </w:r>
      <w:r>
        <w:t xml:space="preserve">to GCC endpoints, not commercial endpoints.</w:t>
      </w:r>
      <w:r>
        <w:t xml:space="preserve"> </w:t>
      </w:r>
      <w:r>
        <w:t xml:space="preserve">The DNS answer determines which data sovereignty boundary the traffic crosses.</w:t>
      </w:r>
    </w:p>
    <w:p>
      <w:pPr>
        <w:pStyle w:val="BodyText"/>
      </w:pPr>
      <w:r>
        <w:rPr>
          <w:b/>
          <w:bCs/>
        </w:rPr>
        <w:t xml:space="preserve">Security policy enforcement.</w:t>
      </w:r>
      <w:r>
        <w:t xml:space="preserve"> </w:t>
      </w:r>
      <w:r>
        <w:t xml:space="preserve">DNS is now a control plane for threat</w:t>
      </w:r>
      <w:r>
        <w:t xml:space="preserve"> </w:t>
      </w:r>
      <w:r>
        <w:t xml:space="preserve">prevention. Response Policy Zones (RPZ) block malicious domains before a</w:t>
      </w:r>
      <w:r>
        <w:t xml:space="preserve"> </w:t>
      </w:r>
      <w:r>
        <w:t xml:space="preserve">connection is established. DNS Firewall rules in AWS Route 53, Azure DNS,</w:t>
      </w:r>
      <w:r>
        <w:t xml:space="preserve"> </w:t>
      </w:r>
      <w:r>
        <w:t xml:space="preserve">and GCP Cloud DNS filter traffic at the resolution layer. Infoblox BloxOne</w:t>
      </w:r>
      <w:r>
        <w:t xml:space="preserve"> </w:t>
      </w:r>
      <w:r>
        <w:t xml:space="preserve">Threat Defense uses DNS to detect data exfiltration, command-and-control</w:t>
      </w:r>
      <w:r>
        <w:t xml:space="preserve"> </w:t>
      </w:r>
      <w:r>
        <w:t xml:space="preserve">communications, and domain generation algorithm (DGA) activity.</w:t>
      </w:r>
    </w:p>
    <w:p>
      <w:pPr>
        <w:pStyle w:val="BodyText"/>
      </w:pPr>
      <w:r>
        <w:rPr>
          <w:b/>
          <w:bCs/>
        </w:rPr>
        <w:t xml:space="preserve">Certificate validation.</w:t>
      </w:r>
      <w:r>
        <w:t xml:space="preserve"> </w:t>
      </w:r>
      <w:r>
        <w:t xml:space="preserve">Online Certificate Status Protocol (OCSP)</w:t>
      </w:r>
      <w:r>
        <w:t xml:space="preserve"> </w:t>
      </w:r>
      <w:r>
        <w:t xml:space="preserve">responders and Certificate Revocation List (CRL) distribution points are</w:t>
      </w:r>
      <w:r>
        <w:t xml:space="preserve"> </w:t>
      </w:r>
      <w:r>
        <w:t xml:space="preserve">DNS names. A certificate’s validity chain includes DNS lookups that must</w:t>
      </w:r>
      <w:r>
        <w:t xml:space="preserve"> </w:t>
      </w:r>
      <w:r>
        <w:t xml:space="preserve">succeed and resolve consistently for the chain to verify.</w:t>
      </w:r>
    </w:p>
    <w:p>
      <w:pPr>
        <w:pStyle w:val="BodyText"/>
      </w:pPr>
      <w:r>
        <w:rPr>
          <w:b/>
          <w:bCs/>
        </w:rPr>
        <w:t xml:space="preserve">Service identity.</w:t>
      </w:r>
      <w:r>
        <w:t xml:space="preserve"> </w:t>
      </w:r>
      <w:r>
        <w:t xml:space="preserve">In a zero trust architecture, the FQDN is the service</w:t>
      </w:r>
      <w:r>
        <w:t xml:space="preserve"> </w:t>
      </w:r>
      <w:r>
        <w:t xml:space="preserve">identity — not the IP address. A service mesh routes traffic to</w:t>
      </w:r>
      <w:r>
        <w:t xml:space="preserve"> </w:t>
      </w:r>
      <w:r>
        <w:rPr>
          <w:rStyle w:val="VerbatimChar"/>
        </w:rPr>
        <w:t xml:space="preserve">payments.internal.agency.gov</w:t>
      </w:r>
      <w:r>
        <w:t xml:space="preserve">, not to</w:t>
      </w:r>
      <w:r>
        <w:t xml:space="preserve"> </w:t>
      </w:r>
      <w:r>
        <w:rPr>
          <w:rStyle w:val="VerbatimChar"/>
        </w:rPr>
        <w:t xml:space="preserve">10.0.42.17</w:t>
      </w:r>
      <w:r>
        <w:t xml:space="preserve">. The IP is ephemeral;</w:t>
      </w:r>
      <w:r>
        <w:t xml:space="preserve"> </w:t>
      </w:r>
      <w:r>
        <w:t xml:space="preserve">the FQDN is the stable identity that policy, certificates, and audit logs</w:t>
      </w:r>
      <w:r>
        <w:t xml:space="preserve"> </w:t>
      </w:r>
      <w:r>
        <w:t xml:space="preserve">reference.</w:t>
      </w:r>
    </w:p>
    <w:p>
      <w:pPr>
        <w:pStyle w:val="BodyText"/>
      </w:pPr>
      <w:r>
        <w:rPr>
          <w:b/>
          <w:bCs/>
        </w:rPr>
        <w:t xml:space="preserve">Application surface definition.</w:t>
      </w:r>
      <w:r>
        <w:t xml:space="preserve"> </w:t>
      </w:r>
      <w:r>
        <w:t xml:space="preserve">Wildcard DNS entries define namespaces</w:t>
      </w:r>
      <w:r>
        <w:t xml:space="preserve"> </w:t>
      </w:r>
      <w:r>
        <w:t xml:space="preserve">of applications.</w:t>
      </w:r>
      <w:r>
        <w:t xml:space="preserve"> </w:t>
      </w:r>
      <w:r>
        <w:rPr>
          <w:rStyle w:val="VerbatimChar"/>
        </w:rPr>
        <w:t xml:space="preserve">*.api.agency.gov</w:t>
      </w:r>
      <w:r>
        <w:t xml:space="preserve"> </w:t>
      </w:r>
      <w:r>
        <w:t xml:space="preserve">is not a single host — it is a surface</w:t>
      </w:r>
      <w:r>
        <w:t xml:space="preserve"> </w:t>
      </w:r>
      <w:r>
        <w:t xml:space="preserve">declaration that any subdomain of</w:t>
      </w:r>
      <w:r>
        <w:t xml:space="preserve"> </w:t>
      </w:r>
      <w:r>
        <w:rPr>
          <w:rStyle w:val="VerbatimChar"/>
        </w:rPr>
        <w:t xml:space="preserve">api.agency.gov</w:t>
      </w:r>
      <w:r>
        <w:t xml:space="preserve"> </w:t>
      </w:r>
      <w:r>
        <w:t xml:space="preserve">is a valid application</w:t>
      </w:r>
      <w:r>
        <w:t xml:space="preserve"> </w:t>
      </w:r>
      <w:r>
        <w:t xml:space="preserve">endpoint. API gateways, WAF rules, certificate SANs, and zero trust policies</w:t>
      </w:r>
      <w:r>
        <w:t xml:space="preserve"> </w:t>
      </w:r>
      <w:r>
        <w:t xml:space="preserve">are written against this surface.</w:t>
      </w:r>
    </w:p>
    <w:p>
      <w:pPr>
        <w:pStyle w:val="BodyText"/>
      </w:pPr>
      <w:r>
        <w:t xml:space="preserve">DNS is no longer a name-lookup utility. It is the identity substrate, the</w:t>
      </w:r>
      <w:r>
        <w:t xml:space="preserve"> </w:t>
      </w:r>
      <w:r>
        <w:t xml:space="preserve">security enforcement plane, and the application surface definition layer of</w:t>
      </w:r>
      <w:r>
        <w:t xml:space="preserve"> </w:t>
      </w:r>
      <w:r>
        <w:t xml:space="preserve">the modern enterprise. Governing it is not an IT operations task — it is a</w:t>
      </w:r>
      <w:r>
        <w:t xml:space="preserve"> </w:t>
      </w:r>
      <w:r>
        <w:t xml:space="preserve">strategic security and architecture task.</w:t>
      </w:r>
    </w:p>
    <w:bookmarkEnd w:id="22"/>
    <w:bookmarkStart w:id="23" w:name="the-hybrid-multi-cloud-dns-landscape"/>
    <w:p>
      <w:pPr>
        <w:pStyle w:val="Heading3"/>
      </w:pPr>
      <w:r>
        <w:t xml:space="preserve">1.3 The hybrid multi-cloud DNS landscape</w:t>
      </w:r>
    </w:p>
    <w:p>
      <w:pPr>
        <w:pStyle w:val="FirstParagraph"/>
      </w:pPr>
      <w:r>
        <w:t xml:space="preserve">Federal agencies do not choose to manage DNS in five places. The fragmentation</w:t>
      </w:r>
      <w:r>
        <w:t xml:space="preserve"> </w:t>
      </w:r>
      <w:r>
        <w:t xml:space="preserve">is an emergent property of how cloud platforms were adopted. Each platform</w:t>
      </w:r>
      <w:r>
        <w:t xml:space="preserve"> </w:t>
      </w:r>
      <w:r>
        <w:t xml:space="preserve">ships its own DNS service because DNS is the connective tissue of everything</w:t>
      </w:r>
      <w:r>
        <w:t xml:space="preserve"> </w:t>
      </w:r>
      <w:r>
        <w:t xml:space="preserve">else the platform does. Decoupling DNS from the cloud platform requires</w:t>
      </w:r>
      <w:r>
        <w:t xml:space="preserve"> </w:t>
      </w:r>
      <w:r>
        <w:t xml:space="preserve">deliberate architectural work that the platform’s default experience does</w:t>
      </w:r>
      <w:r>
        <w:t xml:space="preserve"> </w:t>
      </w:r>
      <w:r>
        <w:t xml:space="preserve">not encourage.</w:t>
      </w:r>
    </w:p>
    <w:p>
      <w:pPr>
        <w:pStyle w:val="BodyText"/>
      </w:pPr>
      <w:r>
        <w:t xml:space="preserve">The result, for most federal agencies today, is a DNS estate that spans: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On-premises:</w:t>
      </w:r>
      <w:r>
        <w:t xml:space="preserve"> </w:t>
      </w:r>
      <w:r>
        <w:t xml:space="preserve">Active Directory-integrated DNS (Windows Server DNS managed</w:t>
      </w:r>
      <w:r>
        <w:t xml:space="preserve"> </w:t>
      </w:r>
      <w:r>
        <w:t xml:space="preserve">by AD) and/or Infoblox NIOS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AWS:</w:t>
      </w:r>
      <w:r>
        <w:t xml:space="preserve"> </w:t>
      </w:r>
      <w:r>
        <w:t xml:space="preserve">Amazon Route 53 (public and private hosted zones) with Route 53</w:t>
      </w:r>
      <w:r>
        <w:t xml:space="preserve"> </w:t>
      </w:r>
      <w:r>
        <w:t xml:space="preserve">Resolver for hybrid forwarding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Azure:</w:t>
      </w:r>
      <w:r>
        <w:t xml:space="preserve"> </w:t>
      </w:r>
      <w:r>
        <w:t xml:space="preserve">Azure Private DNS zones linked to virtual networks, fronted by</w:t>
      </w:r>
      <w:r>
        <w:t xml:space="preserve"> </w:t>
      </w:r>
      <w:r>
        <w:t xml:space="preserve">Azure DNS Private Resolver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GCP:</w:t>
      </w:r>
      <w:r>
        <w:t xml:space="preserve"> </w:t>
      </w:r>
      <w:r>
        <w:t xml:space="preserve">Google Cloud DNS with private zones and DNS peering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VMware NSX-T:</w:t>
      </w:r>
      <w:r>
        <w:t xml:space="preserve"> </w:t>
      </w:r>
      <w:r>
        <w:t xml:space="preserve">NSX-T DNS Service per logical segment, layered over</w:t>
      </w:r>
      <w:r>
        <w:t xml:space="preserve"> </w:t>
      </w:r>
      <w:r>
        <w:t xml:space="preserve">vSphere DNS and AD integration</w:t>
      </w:r>
    </w:p>
    <w:p>
      <w:pPr>
        <w:pStyle w:val="FirstParagraph"/>
      </w:pPr>
      <w:r>
        <w:t xml:space="preserve">Each of these operates independently. Each has its own console, its own API,</w:t>
      </w:r>
      <w:r>
        <w:t xml:space="preserve"> </w:t>
      </w:r>
      <w:r>
        <w:t xml:space="preserve">its own zone model, and its own behavior under failure. None of them was</w:t>
      </w:r>
      <w:r>
        <w:t xml:space="preserve"> </w:t>
      </w:r>
      <w:r>
        <w:t xml:space="preserve">designed to share policy with the others.</w:t>
      </w:r>
    </w:p>
    <w:bookmarkEnd w:id="23"/>
    <w:bookmarkStart w:id="24" w:name="how-each-platform-implements-dns"/>
    <w:p>
      <w:pPr>
        <w:pStyle w:val="Heading3"/>
      </w:pPr>
      <w:r>
        <w:t xml:space="preserve">1.4 How each platform implements DNS</w:t>
      </w:r>
    </w:p>
    <w:p>
      <w:pPr>
        <w:pStyle w:val="FirstParagraph"/>
      </w:pPr>
      <w:r>
        <w:t xml:space="preserve">Understanding why unified management is necessary requires understanding what</w:t>
      </w:r>
      <w:r>
        <w:t xml:space="preserve"> </w:t>
      </w:r>
      <w:r>
        <w:t xml:space="preserve">each platform’s DNS service actually does — and where its behavior diverges</w:t>
      </w:r>
      <w:r>
        <w:t xml:space="preserve"> </w:t>
      </w:r>
      <w:r>
        <w:t xml:space="preserve">from the others.</w:t>
      </w:r>
    </w:p>
    <w:p>
      <w:pPr>
        <w:pStyle w:val="BodyText"/>
      </w:pPr>
      <w:r>
        <w:rPr>
          <w:b/>
          <w:bCs/>
        </w:rPr>
        <w:t xml:space="preserve">AWS Route 53</w:t>
      </w:r>
      <w:r>
        <w:t xml:space="preserve"> </w:t>
      </w:r>
      <w:r>
        <w:t xml:space="preserve">operates as both a public authoritative DNS service and a</w:t>
      </w:r>
      <w:r>
        <w:t xml:space="preserve"> </w:t>
      </w:r>
      <w:r>
        <w:t xml:space="preserve">private resolver infrastructure. Public hosted zones are authoritative for</w:t>
      </w:r>
      <w:r>
        <w:t xml:space="preserve"> </w:t>
      </w:r>
      <w:r>
        <w:t xml:space="preserve">internet-visible domains. Private hosted zones are authoritative for names</w:t>
      </w:r>
      <w:r>
        <w:t xml:space="preserve"> </w:t>
      </w:r>
      <w:r>
        <w:t xml:space="preserve">that should resolve only within a VPC. The Route 53 Resolver provides inbound</w:t>
      </w:r>
      <w:r>
        <w:t xml:space="preserve"> </w:t>
      </w:r>
      <w:r>
        <w:t xml:space="preserve">endpoints (for on-premises queries entering AWS) and outbound endpoints (for</w:t>
      </w:r>
      <w:r>
        <w:t xml:space="preserve"> </w:t>
      </w:r>
      <w:r>
        <w:t xml:space="preserve">AWS-originating queries leaving to on-premises or other CSPs). Outbound</w:t>
      </w:r>
      <w:r>
        <w:t xml:space="preserve"> </w:t>
      </w:r>
      <w:r>
        <w:t xml:space="preserve">Resolver rules define which namespaces are forwarded where. Route 53 Resolver</w:t>
      </w:r>
      <w:r>
        <w:t xml:space="preserve"> </w:t>
      </w:r>
      <w:r>
        <w:t xml:space="preserve">DNS Firewall applies domain-level block/allow rules to outbound queries. Each</w:t>
      </w:r>
      <w:r>
        <w:t xml:space="preserve"> </w:t>
      </w:r>
      <w:r>
        <w:t xml:space="preserve">of these components — hosted zones, Resolver, DNS Firewall rules — is</w:t>
      </w:r>
      <w:r>
        <w:t xml:space="preserve"> </w:t>
      </w:r>
      <w:r>
        <w:t xml:space="preserve">configured independently in the AWS console or CLI.</w:t>
      </w:r>
    </w:p>
    <w:p>
      <w:pPr>
        <w:pStyle w:val="BodyText"/>
      </w:pPr>
      <w:r>
        <w:rPr>
          <w:b/>
          <w:bCs/>
        </w:rPr>
        <w:t xml:space="preserve">Azure Private DNS</w:t>
      </w:r>
      <w:r>
        <w:t xml:space="preserve"> </w:t>
      </w:r>
      <w:r>
        <w:t xml:space="preserve">zones are sovereign: they do not exist in a global</w:t>
      </w:r>
      <w:r>
        <w:t xml:space="preserve"> </w:t>
      </w:r>
      <w:r>
        <w:t xml:space="preserve">hierarchy. They are linked to virtual networks via DNS zone links, and</w:t>
      </w:r>
      <w:r>
        <w:t xml:space="preserve"> </w:t>
      </w:r>
      <w:r>
        <w:t xml:space="preserve">resolution of a private zone’s records is available only to VMs in a linked</w:t>
      </w:r>
      <w:r>
        <w:t xml:space="preserve"> </w:t>
      </w:r>
      <w:r>
        <w:t xml:space="preserve">VNet. Azure DNS Private Resolver provides inbound and outbound endpoints —</w:t>
      </w:r>
      <w:r>
        <w:t xml:space="preserve"> </w:t>
      </w:r>
      <w:r>
        <w:t xml:space="preserve">the inbound endpoint accepts queries from on-premises or other networks,</w:t>
      </w:r>
      <w:r>
        <w:t xml:space="preserve"> </w:t>
      </w:r>
      <w:r>
        <w:t xml:space="preserve">the outbound endpoint forwards queries to designated servers. Forwarding</w:t>
      </w:r>
      <w:r>
        <w:t xml:space="preserve"> </w:t>
      </w:r>
      <w:r>
        <w:t xml:space="preserve">rulesets on the outbound endpoint define per-namespace forwarding rules.</w:t>
      </w:r>
      <w:r>
        <w:t xml:space="preserve"> </w:t>
      </w:r>
      <w:r>
        <w:t xml:space="preserve">Private endpoint FQDNs (such as</w:t>
      </w:r>
      <w:r>
        <w:t xml:space="preserve"> </w:t>
      </w:r>
      <w:r>
        <w:rPr>
          <w:rStyle w:val="VerbatimChar"/>
        </w:rPr>
        <w:t xml:space="preserve">storageaccount.blob.core.windows.net</w:t>
      </w:r>
      <w:r>
        <w:t xml:space="preserve">)</w:t>
      </w:r>
      <w:r>
        <w:t xml:space="preserve"> </w:t>
      </w:r>
      <w:r>
        <w:t xml:space="preserve">resolve to RFC 1918 addresses only when the query arrives via an inbound</w:t>
      </w:r>
      <w:r>
        <w:t xml:space="preserve"> </w:t>
      </w:r>
      <w:r>
        <w:t xml:space="preserve">endpoint linked to a VNet that has the private endpoint. The same query</w:t>
      </w:r>
      <w:r>
        <w:t xml:space="preserve"> </w:t>
      </w:r>
      <w:r>
        <w:t xml:space="preserve">from outside that path resolves to a public IP. This is the structural root</w:t>
      </w:r>
      <w:r>
        <w:t xml:space="preserve"> </w:t>
      </w:r>
      <w:r>
        <w:t xml:space="preserve">of the Azure split-brain problem.</w:t>
      </w:r>
    </w:p>
    <w:p>
      <w:pPr>
        <w:pStyle w:val="BodyText"/>
      </w:pPr>
      <w:r>
        <w:rPr>
          <w:b/>
          <w:bCs/>
        </w:rPr>
        <w:t xml:space="preserve">GCP Cloud DNS</w:t>
      </w:r>
      <w:r>
        <w:t xml:space="preserve"> </w:t>
      </w:r>
      <w:r>
        <w:t xml:space="preserve">private zones are associated with VPC networks. Resolution</w:t>
      </w:r>
      <w:r>
        <w:t xml:space="preserve"> </w:t>
      </w:r>
      <w:r>
        <w:t xml:space="preserve">is handled by the metadata server at</w:t>
      </w:r>
      <w:r>
        <w:t xml:space="preserve"> </w:t>
      </w:r>
      <w:r>
        <w:rPr>
          <w:rStyle w:val="VerbatimChar"/>
        </w:rPr>
        <w:t xml:space="preserve">169.254.169.254</w:t>
      </w:r>
      <w:r>
        <w:t xml:space="preserve"> </w:t>
      </w:r>
      <w:r>
        <w:t xml:space="preserve">within the VPC — a</w:t>
      </w:r>
      <w:r>
        <w:t xml:space="preserve"> </w:t>
      </w:r>
      <w:r>
        <w:t xml:space="preserve">well-known RFC 3927 link-local address that Google’s hypervisor intercepts.</w:t>
      </w:r>
      <w:r>
        <w:t xml:space="preserve"> </w:t>
      </w:r>
      <w:r>
        <w:t xml:space="preserve">DNS peering allows a private zone in one VPC to be visible to another. An</w:t>
      </w:r>
      <w:r>
        <w:t xml:space="preserve"> </w:t>
      </w:r>
      <w:r>
        <w:t xml:space="preserve">inbound server policy adds a regional forwarding endpoint that accepts queries</w:t>
      </w:r>
      <w:r>
        <w:t xml:space="preserve"> </w:t>
      </w:r>
      <w:r>
        <w:t xml:space="preserve">from on-premises or other networks. GCP Cloud DNS supports Response Policy</w:t>
      </w:r>
      <w:r>
        <w:t xml:space="preserve"> </w:t>
      </w:r>
      <w:r>
        <w:t xml:space="preserve">Zones (functionally equivalent to Infoblox RPZ) for DNS-layer security</w:t>
      </w:r>
      <w:r>
        <w:t xml:space="preserve"> </w:t>
      </w:r>
      <w:r>
        <w:t xml:space="preserve">enforcement — an important distinction from Azure, which has no equivalent</w:t>
      </w:r>
      <w:r>
        <w:t xml:space="preserve"> </w:t>
      </w:r>
      <w:r>
        <w:t xml:space="preserve">native RPZ mechanism.</w:t>
      </w:r>
    </w:p>
    <w:p>
      <w:pPr>
        <w:pStyle w:val="BodyText"/>
      </w:pPr>
      <w:r>
        <w:rPr>
          <w:b/>
          <w:bCs/>
        </w:rPr>
        <w:t xml:space="preserve">VMware NSX-T DNS Service</w:t>
      </w:r>
      <w:r>
        <w:t xml:space="preserve"> </w:t>
      </w:r>
      <w:r>
        <w:t xml:space="preserve">operates at the logical segment level. The NSX-T</w:t>
      </w:r>
      <w:r>
        <w:t xml:space="preserve"> </w:t>
      </w:r>
      <w:r>
        <w:t xml:space="preserve">DNS Service is a gateway-level forwarder deployed on the Tier-1 or Tier-0</w:t>
      </w:r>
      <w:r>
        <w:t xml:space="preserve"> </w:t>
      </w:r>
      <w:r>
        <w:t xml:space="preserve">gateway; it intercepts DNS queries from workloads on managed segments and</w:t>
      </w:r>
      <w:r>
        <w:t xml:space="preserve"> </w:t>
      </w:r>
      <w:r>
        <w:t xml:space="preserve">forwards them to designated upstream resolvers. Multiple DNS service profiles</w:t>
      </w:r>
      <w:r>
        <w:t xml:space="preserve"> </w:t>
      </w:r>
      <w:r>
        <w:t xml:space="preserve">can be configured, each pointing to different forwarders for different</w:t>
      </w:r>
      <w:r>
        <w:t xml:space="preserve"> </w:t>
      </w:r>
      <w:r>
        <w:t xml:space="preserve">namespaces. This creates a DNS topology where the resolver a workload uses</w:t>
      </w:r>
      <w:r>
        <w:t xml:space="preserve"> </w:t>
      </w:r>
      <w:r>
        <w:t xml:space="preserve">is determined by which NSX-T segment it lives on — behavior that is entirely</w:t>
      </w:r>
      <w:r>
        <w:t xml:space="preserve"> </w:t>
      </w:r>
      <w:r>
        <w:t xml:space="preserve">opaque from the perspective of the on-premises DNS console. vSphere clusters</w:t>
      </w:r>
      <w:r>
        <w:t xml:space="preserve"> </w:t>
      </w:r>
      <w:r>
        <w:t xml:space="preserve">that are AD-joined use AD DNS directly; NSX-T managed workloads may or may</w:t>
      </w:r>
      <w:r>
        <w:t xml:space="preserve"> </w:t>
      </w:r>
      <w:r>
        <w:t xml:space="preserve">not, depending on how the DNS service profile is configured.</w:t>
      </w:r>
    </w:p>
    <w:bookmarkEnd w:id="24"/>
    <w:bookmarkStart w:id="25" w:name="the-management-burden-of-independence"/>
    <w:p>
      <w:pPr>
        <w:pStyle w:val="Heading3"/>
      </w:pPr>
      <w:r>
        <w:t xml:space="preserve">1.5 The management burden of independence</w:t>
      </w:r>
    </w:p>
    <w:p>
      <w:pPr>
        <w:pStyle w:val="FirstParagraph"/>
      </w:pPr>
      <w:r>
        <w:t xml:space="preserve">Managing these five DNS systems independently requires five distinct skill</w:t>
      </w:r>
      <w:r>
        <w:t xml:space="preserve"> </w:t>
      </w:r>
      <w:r>
        <w:t xml:space="preserve">sets, five separate operational playbooks, and five separate security posture</w:t>
      </w:r>
      <w:r>
        <w:t xml:space="preserve"> </w:t>
      </w:r>
      <w:r>
        <w:t xml:space="preserve">reviews. When a new private endpoint is provisioned in Azure, the engineer</w:t>
      </w:r>
      <w:r>
        <w:t xml:space="preserve"> </w:t>
      </w:r>
      <w:r>
        <w:t xml:space="preserve">provisioning it must also update the Azure Private DNS zone link, the</w:t>
      </w:r>
      <w:r>
        <w:t xml:space="preserve"> </w:t>
      </w:r>
      <w:r>
        <w:t xml:space="preserve">Azure DNS Private Resolver forwarding ruleset, the Route 53 outbound resolver</w:t>
      </w:r>
      <w:r>
        <w:t xml:space="preserve"> </w:t>
      </w:r>
      <w:r>
        <w:t xml:space="preserve">rule (if AWS workloads need to reach the endpoint), and the Infoblox NIOS</w:t>
      </w:r>
      <w:r>
        <w:t xml:space="preserve"> </w:t>
      </w:r>
      <w:r>
        <w:t xml:space="preserve">conditional forwarding configuration (if on-premises workloads need to reach</w:t>
      </w:r>
      <w:r>
        <w:t xml:space="preserve"> </w:t>
      </w:r>
      <w:r>
        <w:t xml:space="preserve">it). The provisioning step is one action; the DNS synchronization it requires</w:t>
      </w:r>
      <w:r>
        <w:t xml:space="preserve"> </w:t>
      </w:r>
      <w:r>
        <w:t xml:space="preserve">is four more, on four different consoles, with four different syntaxes.</w:t>
      </w:r>
    </w:p>
    <w:p>
      <w:pPr>
        <w:pStyle w:val="BodyText"/>
      </w:pPr>
      <w:r>
        <w:t xml:space="preserve">No organization has a team that owns all five of those operations simultaneously.</w:t>
      </w:r>
      <w:r>
        <w:t xml:space="preserve"> </w:t>
      </w:r>
      <w:r>
        <w:t xml:space="preserve">The natural ownership boundary is: cloud team owns CSP DNS, network team owns</w:t>
      </w:r>
      <w:r>
        <w:t xml:space="preserve"> </w:t>
      </w:r>
      <w:r>
        <w:t xml:space="preserve">NIOS, Windows team owns AD DNS. The DNS that crosses those ownership boundaries —</w:t>
      </w:r>
      <w:r>
        <w:t xml:space="preserve"> </w:t>
      </w:r>
      <w:r>
        <w:t xml:space="preserve">the forwarding rules that connect them — typically falls into the gap between all</w:t>
      </w:r>
      <w:r>
        <w:t xml:space="preserve"> </w:t>
      </w:r>
      <w:r>
        <w:t xml:space="preserve">three teams.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32" w:name="X35afbcddbe81dce4c8a5df5e2cb908f9fa7d32f"/>
    <w:p>
      <w:pPr>
        <w:pStyle w:val="Heading2"/>
      </w:pPr>
      <w:r>
        <w:t xml:space="preserve">Part 2 — Split-Brain DNS: The Structural Problem</w:t>
      </w:r>
    </w:p>
    <w:bookmarkStart w:id="27" w:name="what-split-brain-dns-is"/>
    <w:p>
      <w:pPr>
        <w:pStyle w:val="Heading3"/>
      </w:pPr>
      <w:r>
        <w:t xml:space="preserve">2.1 What split-brain DNS is</w:t>
      </w:r>
    </w:p>
    <w:p>
      <w:pPr>
        <w:pStyle w:val="FirstParagraph"/>
      </w:pPr>
      <w:r>
        <w:t xml:space="preserve">Split-brain DNS is the condition where a DNS query for the same name returns</w:t>
      </w:r>
      <w:r>
        <w:t xml:space="preserve"> </w:t>
      </w:r>
      <w:r>
        <w:t xml:space="preserve">different answers depending on where the query originates. The name is</w:t>
      </w:r>
      <w:r>
        <w:t xml:space="preserve"> </w:t>
      </w:r>
      <w:r>
        <w:t xml:space="preserve">correct — it maps to the right host in both cases — but the two answers point</w:t>
      </w:r>
      <w:r>
        <w:t xml:space="preserve"> </w:t>
      </w:r>
      <w:r>
        <w:t xml:space="preserve">to different addresses, and the difference in address determines whether the</w:t>
      </w:r>
      <w:r>
        <w:t xml:space="preserve"> </w:t>
      </w:r>
      <w:r>
        <w:t xml:space="preserve">traffic reaches its intended destination.</w:t>
      </w:r>
    </w:p>
    <w:p>
      <w:pPr>
        <w:pStyle w:val="BodyText"/>
      </w:pPr>
      <w:r>
        <w:t xml:space="preserve">Split-brain is not a bug. It is often an intentional design: the same public</w:t>
      </w:r>
      <w:r>
        <w:t xml:space="preserve"> </w:t>
      </w:r>
      <w:r>
        <w:t xml:space="preserve">FQDN resolves to an RFC 1918 address for internal callers and a public IP</w:t>
      </w:r>
      <w:r>
        <w:t xml:space="preserve"> </w:t>
      </w:r>
      <w:r>
        <w:t xml:space="preserve">for external callers. That is a legitimate and common pattern. The problem</w:t>
      </w:r>
      <w:r>
        <w:t xml:space="preserve"> </w:t>
      </w:r>
      <w:r>
        <w:t xml:space="preserve">arises when the two views are inconsistent in ways that are not intentional —</w:t>
      </w:r>
      <w:r>
        <w:t xml:space="preserve"> </w:t>
      </w:r>
      <w:r>
        <w:t xml:space="preserve">when the internal view is stale, when the external view is incorrect for some</w:t>
      </w:r>
      <w:r>
        <w:t xml:space="preserve"> </w:t>
      </w:r>
      <w:r>
        <w:t xml:space="preserve">callers but not others, or when a security policy (RPZ block, DNS Firewall</w:t>
      </w:r>
      <w:r>
        <w:t xml:space="preserve"> </w:t>
      </w:r>
      <w:r>
        <w:t xml:space="preserve">rule) applies in one view but not the other.</w:t>
      </w:r>
    </w:p>
    <w:p>
      <w:pPr>
        <w:pStyle w:val="BodyText"/>
      </w:pPr>
      <w:r>
        <w:t xml:space="preserve">In a hybrid multi-cloud environment managed with independent per-CSP DNS,</w:t>
      </w:r>
      <w:r>
        <w:t xml:space="preserve"> </w:t>
      </w:r>
      <w:r>
        <w:t xml:space="preserve">unintentional split-brain is structurally guaranteed. The independent DNS</w:t>
      </w:r>
      <w:r>
        <w:t xml:space="preserve"> </w:t>
      </w:r>
      <w:r>
        <w:t xml:space="preserve">systems diverge because they have no mechanism to stay consistent.</w:t>
      </w:r>
    </w:p>
    <w:bookmarkEnd w:id="27"/>
    <w:bookmarkStart w:id="28" w:name="Xaef860c986c0e8b6453d0fc4dafb95471aa8ec3"/>
    <w:p>
      <w:pPr>
        <w:pStyle w:val="Heading3"/>
      </w:pPr>
      <w:r>
        <w:t xml:space="preserve">2.2 Private IP split-brain: the cross-cloud case</w:t>
      </w:r>
    </w:p>
    <w:p>
      <w:pPr>
        <w:pStyle w:val="FirstParagraph"/>
      </w:pPr>
      <w:r>
        <w:t xml:space="preserve">The clearest example of private IP split-brain is the Azure Private Endpoint</w:t>
      </w:r>
      <w:r>
        <w:t xml:space="preserve"> </w:t>
      </w:r>
      <w:r>
        <w:t xml:space="preserve">case. When an Azure Storage account is configured with a private endpoint,</w:t>
      </w:r>
      <w:r>
        <w:t xml:space="preserve"> </w:t>
      </w:r>
      <w:r>
        <w:t xml:space="preserve">Azure creates a DNS record in the</w:t>
      </w:r>
      <w:r>
        <w:t xml:space="preserve"> </w:t>
      </w:r>
      <w:r>
        <w:rPr>
          <w:rStyle w:val="VerbatimChar"/>
        </w:rPr>
        <w:t xml:space="preserve">privatelink.blob.core.windows.net</w:t>
      </w:r>
      <w:r>
        <w:t xml:space="preserve"> </w:t>
      </w:r>
      <w:r>
        <w:t xml:space="preserve">private</w:t>
      </w:r>
      <w:r>
        <w:t xml:space="preserve"> </w:t>
      </w:r>
      <w:r>
        <w:t xml:space="preserve">zone that resolves the storage account’s FQDN to a VNet-scoped RFC 1918</w:t>
      </w:r>
      <w:r>
        <w:t xml:space="preserve"> </w:t>
      </w:r>
      <w:r>
        <w:t xml:space="preserve">address — say</w:t>
      </w:r>
      <w:r>
        <w:t xml:space="preserve"> </w:t>
      </w:r>
      <w:r>
        <w:rPr>
          <w:rStyle w:val="VerbatimChar"/>
        </w:rPr>
        <w:t xml:space="preserve">10.1.0.4</w:t>
      </w:r>
      <w:r>
        <w:t xml:space="preserve">. Within the VNet, any query for</w:t>
      </w:r>
      <w:r>
        <w:t xml:space="preserve"> </w:t>
      </w:r>
      <w:r>
        <w:rPr>
          <w:rStyle w:val="VerbatimChar"/>
        </w:rPr>
        <w:t xml:space="preserve">storageaccount.blob.core.windows.net</w:t>
      </w:r>
      <w:r>
        <w:t xml:space="preserve"> </w:t>
      </w:r>
      <w:r>
        <w:t xml:space="preserve">resolves to</w:t>
      </w:r>
      <w:r>
        <w:t xml:space="preserve"> </w:t>
      </w:r>
      <w:r>
        <w:rPr>
          <w:rStyle w:val="VerbatimChar"/>
        </w:rPr>
        <w:t xml:space="preserve">10.1.0.4</w:t>
      </w:r>
      <w:r>
        <w:t xml:space="preserve">. Traffic stays</w:t>
      </w:r>
      <w:r>
        <w:t xml:space="preserve"> </w:t>
      </w:r>
      <w:r>
        <w:t xml:space="preserve">on the private network.</w:t>
      </w:r>
    </w:p>
    <w:p>
      <w:pPr>
        <w:pStyle w:val="BodyText"/>
      </w:pPr>
      <w:r>
        <w:t xml:space="preserve">For an EC2 instance in AWS to reach the same storage account via its private</w:t>
      </w:r>
      <w:r>
        <w:t xml:space="preserve"> </w:t>
      </w:r>
      <w:r>
        <w:t xml:space="preserve">endpoint, the Route 53 outbound resolver must have a forwarding rule for</w:t>
      </w:r>
      <w:r>
        <w:t xml:space="preserve"> </w:t>
      </w:r>
      <w:r>
        <w:rPr>
          <w:rStyle w:val="VerbatimChar"/>
        </w:rPr>
        <w:t xml:space="preserve">privatelink.blob.core.windows.net</w:t>
      </w:r>
      <w:r>
        <w:t xml:space="preserve"> </w:t>
      </w:r>
      <w:r>
        <w:t xml:space="preserve">that directs queries to the Azure DNS</w:t>
      </w:r>
      <w:r>
        <w:t xml:space="preserve"> </w:t>
      </w:r>
      <w:r>
        <w:t xml:space="preserve">Private Resolver inbound endpoint. If that rule exists and is current, the</w:t>
      </w:r>
      <w:r>
        <w:t xml:space="preserve"> </w:t>
      </w:r>
      <w:r>
        <w:t xml:space="preserve">EC2 instance resolves the private endpoint correctly. If the rule is absent</w:t>
      </w:r>
      <w:r>
        <w:t xml:space="preserve"> </w:t>
      </w:r>
      <w:r>
        <w:t xml:space="preserve">or outdated, Route 53 falls through to public recursive resolution, the</w:t>
      </w:r>
      <w:r>
        <w:t xml:space="preserve"> </w:t>
      </w:r>
      <w:r>
        <w:t xml:space="preserve">storage account resolves to a public IP, and the EC2 instance either connects</w:t>
      </w:r>
      <w:r>
        <w:t xml:space="preserve"> </w:t>
      </w:r>
      <w:r>
        <w:t xml:space="preserve">over the public internet (bypassing private endpoint security controls) or</w:t>
      </w:r>
      <w:r>
        <w:t xml:space="preserve"> </w:t>
      </w:r>
      <w:r>
        <w:t xml:space="preserve">is blocked by the storage account’s network access rules.</w:t>
      </w:r>
    </w:p>
    <w:p>
      <w:pPr>
        <w:pStyle w:val="BodyText"/>
      </w:pPr>
      <w:r>
        <w:t xml:space="preserve">The failure is intermittent because the public FQDN resolves successfully —</w:t>
      </w:r>
      <w:r>
        <w:t xml:space="preserve"> </w:t>
      </w:r>
      <w:r>
        <w:t xml:space="preserve">just to the wrong address. The application layer sees a connection; the</w:t>
      </w:r>
      <w:r>
        <w:t xml:space="preserve"> </w:t>
      </w:r>
      <w:r>
        <w:t xml:space="preserve">network layer completes it. The fact that the traffic is not taking the</w:t>
      </w:r>
      <w:r>
        <w:t xml:space="preserve"> </w:t>
      </w:r>
      <w:r>
        <w:t xml:space="preserve">intended private path is invisible without explicit DNS query logging and</w:t>
      </w:r>
      <w:r>
        <w:t xml:space="preserve"> </w:t>
      </w:r>
      <w:r>
        <w:t xml:space="preserve">traffic flow analysis.</w:t>
      </w:r>
    </w:p>
    <w:bookmarkEnd w:id="28"/>
    <w:bookmarkStart w:id="29" w:name="X5a4e4f7a4467c1951a9b09fe464de269a09bb9b"/>
    <w:p>
      <w:pPr>
        <w:pStyle w:val="Heading3"/>
      </w:pPr>
      <w:r>
        <w:t xml:space="preserve">2.3 Public SaaS split-brain: Microsoft 365 and sovereign cloud</w:t>
      </w:r>
    </w:p>
    <w:p>
      <w:pPr>
        <w:pStyle w:val="FirstParagraph"/>
      </w:pPr>
      <w:r>
        <w:t xml:space="preserve">Microsoft 365 presents a different form of split-brain that is particularly</w:t>
      </w:r>
      <w:r>
        <w:t xml:space="preserve"> </w:t>
      </w:r>
      <w:r>
        <w:t xml:space="preserve">consequential for federal agencies. M365 uses DNS to route clients to the</w:t>
      </w:r>
      <w:r>
        <w:t xml:space="preserve"> </w:t>
      </w:r>
      <w:r>
        <w:t xml:space="preserve">correct service endpoint — commercial, GCC Moderate, GCC High, or DoD. The</w:t>
      </w:r>
      <w:r>
        <w:t xml:space="preserve"> </w:t>
      </w:r>
      <w:r>
        <w:t xml:space="preserve">FQDNs are identical across environments (e.g.,</w:t>
      </w:r>
      <w:r>
        <w:t xml:space="preserve"> </w:t>
      </w:r>
      <w:r>
        <w:rPr>
          <w:rStyle w:val="VerbatimChar"/>
        </w:rPr>
        <w:t xml:space="preserve">outlook.office365.com</w:t>
      </w:r>
      <w:r>
        <w:t xml:space="preserve">);</w:t>
      </w:r>
      <w:r>
        <w:t xml:space="preserve"> </w:t>
      </w:r>
      <w:r>
        <w:t xml:space="preserve">the DNS answers that clients receive determine which infrastructure they</w:t>
      </w:r>
      <w:r>
        <w:t xml:space="preserve"> </w:t>
      </w:r>
      <w:r>
        <w:t xml:space="preserve">connect to.</w:t>
      </w:r>
    </w:p>
    <w:p>
      <w:pPr>
        <w:pStyle w:val="BodyText"/>
      </w:pPr>
      <w:r>
        <w:t xml:space="preserve">For a GCC Moderate tenant, M365 traffic must resolve to GCC endpoints.</w:t>
      </w:r>
      <w:r>
        <w:t xml:space="preserve"> </w:t>
      </w:r>
      <w:r>
        <w:t xml:space="preserve">This is enforced by DNS: Microsoft publishes different IP ranges for GCC</w:t>
      </w:r>
      <w:r>
        <w:t xml:space="preserve"> </w:t>
      </w:r>
      <w:r>
        <w:t xml:space="preserve">vs. commercial, and the expectation is that agency DNS infrastructure</w:t>
      </w:r>
      <w:r>
        <w:t xml:space="preserve"> </w:t>
      </w:r>
      <w:r>
        <w:t xml:space="preserve">resolves M365 FQDNs to the correct range. In practice, the agency’s DNS</w:t>
      </w:r>
      <w:r>
        <w:t xml:space="preserve"> </w:t>
      </w:r>
      <w:r>
        <w:t xml:space="preserve">forwarders typically resolve M365 FQDNs via public recursive resolution,</w:t>
      </w:r>
      <w:r>
        <w:t xml:space="preserve"> </w:t>
      </w:r>
      <w:r>
        <w:t xml:space="preserve">which returns the anycast IP closest to the resolver — not necessarily the</w:t>
      </w:r>
      <w:r>
        <w:t xml:space="preserve"> </w:t>
      </w:r>
      <w:r>
        <w:t xml:space="preserve">GCC endpoint.</w:t>
      </w:r>
    </w:p>
    <w:p>
      <w:pPr>
        <w:pStyle w:val="BodyText"/>
      </w:pPr>
      <w:r>
        <w:t xml:space="preserve">The result is that M365 DNS resolution for GCC tenants is often implicitly</w:t>
      </w:r>
      <w:r>
        <w:t xml:space="preserve"> </w:t>
      </w:r>
      <w:r>
        <w:t xml:space="preserve">correct (because Microsoft routes GCC tenants to GCC endpoints at the</w:t>
      </w:r>
      <w:r>
        <w:t xml:space="preserve"> </w:t>
      </w:r>
      <w:r>
        <w:t xml:space="preserve">application layer even if the client connects via a commercial IP) — but</w:t>
      </w:r>
      <w:r>
        <w:t xml:space="preserve"> </w:t>
      </w:r>
      <w:r>
        <w:t xml:space="preserve">it is not</w:t>
      </w:r>
      <w:r>
        <w:t xml:space="preserve"> </w:t>
      </w:r>
      <w:r>
        <w:rPr>
          <w:i/>
          <w:iCs/>
        </w:rPr>
        <w:t xml:space="preserve">explicitly governed</w:t>
      </w:r>
      <w:r>
        <w:t xml:space="preserve">. When configuration changes, network path</w:t>
      </w:r>
      <w:r>
        <w:t xml:space="preserve"> </w:t>
      </w:r>
      <w:r>
        <w:t xml:space="preserve">changes, or conditional access policies enforce GCC-specific IP restrictions,</w:t>
      </w:r>
      <w:r>
        <w:t xml:space="preserve"> </w:t>
      </w:r>
      <w:r>
        <w:t xml:space="preserve">the implicit behavior breaks and the failure surfaces as authentication</w:t>
      </w:r>
      <w:r>
        <w:t xml:space="preserve"> </w:t>
      </w:r>
      <w:r>
        <w:t xml:space="preserve">failures or access denials that appear to have nothing to do with DNS.</w:t>
      </w:r>
    </w:p>
    <w:p>
      <w:pPr>
        <w:pStyle w:val="BodyText"/>
      </w:pPr>
      <w:r>
        <w:t xml:space="preserve">Governing M365 endpoint selection via DNS — configuring conditional forwarding</w:t>
      </w:r>
      <w:r>
        <w:t xml:space="preserve"> </w:t>
      </w:r>
      <w:r>
        <w:t xml:space="preserve">or DNS policies that explicitly route M365 namespaces to the correct endpoints —</w:t>
      </w:r>
      <w:r>
        <w:t xml:space="preserve"> </w:t>
      </w:r>
      <w:r>
        <w:t xml:space="preserve">is the correct answer, and it requires a DNS management plane that covers both</w:t>
      </w:r>
      <w:r>
        <w:t xml:space="preserve"> </w:t>
      </w:r>
      <w:r>
        <w:t xml:space="preserve">on-premises resolvers and the cloud DNS services that branch users reach first.</w:t>
      </w:r>
    </w:p>
    <w:bookmarkEnd w:id="29"/>
    <w:bookmarkStart w:id="30" w:name="Xa07e2adde8ae21021a3d2a67dea5568dfc9ffb5"/>
    <w:p>
      <w:pPr>
        <w:pStyle w:val="Heading3"/>
      </w:pPr>
      <w:r>
        <w:t xml:space="preserve">2.4 Security policy split-brain: the invisible gap</w:t>
      </w:r>
    </w:p>
    <w:p>
      <w:pPr>
        <w:pStyle w:val="FirstParagraph"/>
      </w:pPr>
      <w:r>
        <w:t xml:space="preserve">DNS security policy — Response Policy Zones, DNS Firewall rules, block lists —</w:t>
      </w:r>
      <w:r>
        <w:t xml:space="preserve"> </w:t>
      </w:r>
      <w:r>
        <w:t xml:space="preserve">enforces at the resolver. If a malicious domain is blocked in Infoblox NIOS</w:t>
      </w:r>
      <w:r>
        <w:t xml:space="preserve"> </w:t>
      </w:r>
      <w:r>
        <w:t xml:space="preserve">but not in Route 53 DNS Firewall, workloads on EC2 instances that use Route 53</w:t>
      </w:r>
      <w:r>
        <w:t xml:space="preserve"> </w:t>
      </w:r>
      <w:r>
        <w:t xml:space="preserve">as their resolver are unprotected. If an RPZ block is applied in GCP Cloud DNS</w:t>
      </w:r>
      <w:r>
        <w:t xml:space="preserve"> </w:t>
      </w:r>
      <w:r>
        <w:t xml:space="preserve">Response Policy Zones but not in Azure, Azure-hosted workloads are unprotected.</w:t>
      </w:r>
    </w:p>
    <w:p>
      <w:pPr>
        <w:pStyle w:val="BodyText"/>
      </w:pPr>
      <w:r>
        <w:t xml:space="preserve">The per-CSP model produces a security posture that is the</w:t>
      </w:r>
      <w:r>
        <w:t xml:space="preserve"> </w:t>
      </w:r>
      <w:r>
        <w:rPr>
          <w:i/>
          <w:iCs/>
        </w:rPr>
        <w:t xml:space="preserve">intersection</w:t>
      </w:r>
      <w:r>
        <w:t xml:space="preserve"> </w:t>
      </w:r>
      <w:r>
        <w:t xml:space="preserve">of</w:t>
      </w:r>
      <w:r>
        <w:t xml:space="preserve"> </w:t>
      </w:r>
      <w:r>
        <w:t xml:space="preserve">all five DNS security policies — meaning it is only as strong as the weakest</w:t>
      </w:r>
      <w:r>
        <w:t xml:space="preserve"> </w:t>
      </w:r>
      <w:r>
        <w:t xml:space="preserve">system. Because policy replication across five independent DNS systems is</w:t>
      </w:r>
      <w:r>
        <w:t xml:space="preserve"> </w:t>
      </w:r>
      <w:r>
        <w:t xml:space="preserve">manual, the intersection is never exactly equal. The systems diverge over time</w:t>
      </w:r>
      <w:r>
        <w:t xml:space="preserve"> </w:t>
      </w:r>
      <w:r>
        <w:t xml:space="preserve">as each is updated independently.</w:t>
      </w:r>
    </w:p>
    <w:p>
      <w:pPr>
        <w:pStyle w:val="BodyText"/>
      </w:pPr>
      <w:r>
        <w:t xml:space="preserve">This is not merely a compliance gap. DNS-layer threat detection is one of the</w:t>
      </w:r>
      <w:r>
        <w:t xml:space="preserve"> </w:t>
      </w:r>
      <w:r>
        <w:t xml:space="preserve">most effective early-warning mechanisms for supply chain compromise, ransomware</w:t>
      </w:r>
      <w:r>
        <w:t xml:space="preserve"> </w:t>
      </w:r>
      <w:r>
        <w:t xml:space="preserve">pre-positioning, and data exfiltration — precisely because malicious actors</w:t>
      </w:r>
      <w:r>
        <w:t xml:space="preserve"> </w:t>
      </w:r>
      <w:r>
        <w:t xml:space="preserve">rely on DNS for command-and-control and staging infrastructure. A DNS security</w:t>
      </w:r>
      <w:r>
        <w:t xml:space="preserve"> </w:t>
      </w:r>
      <w:r>
        <w:t xml:space="preserve">policy that applies only to queries that reach NIOS provides no protection</w:t>
      </w:r>
      <w:r>
        <w:t xml:space="preserve"> </w:t>
      </w:r>
      <w:r>
        <w:t xml:space="preserve">for the majority of cloud-native queries that never touch NIOS.</w:t>
      </w:r>
    </w:p>
    <w:bookmarkEnd w:id="30"/>
    <w:bookmarkStart w:id="31" w:name="X7409f04f8e036821b49baa905ab09fda43257be"/>
    <w:p>
      <w:pPr>
        <w:pStyle w:val="Heading3"/>
      </w:pPr>
      <w:r>
        <w:t xml:space="preserve">2.5 Why process discipline cannot fix a structural problem</w:t>
      </w:r>
    </w:p>
    <w:p>
      <w:pPr>
        <w:pStyle w:val="FirstParagraph"/>
      </w:pPr>
      <w:r>
        <w:t xml:space="preserve">The standard response to split-brain DNS in a per-CSP model is process: write</w:t>
      </w:r>
      <w:r>
        <w:t xml:space="preserve"> </w:t>
      </w:r>
      <w:r>
        <w:t xml:space="preserve">a runbook, require engineers to update all five DNS systems when any DNS change</w:t>
      </w:r>
      <w:r>
        <w:t xml:space="preserve"> </w:t>
      </w:r>
      <w:r>
        <w:t xml:space="preserve">is made, and audit compliance. This response fails for three reasons.</w:t>
      </w:r>
    </w:p>
    <w:p>
      <w:pPr>
        <w:pStyle w:val="BodyText"/>
      </w:pPr>
      <w:r>
        <w:t xml:space="preserve">First, the failure mode is silent. When a Route 53 forwarding rule is not</w:t>
      </w:r>
      <w:r>
        <w:t xml:space="preserve"> </w:t>
      </w:r>
      <w:r>
        <w:t xml:space="preserve">updated after an Azure private endpoint changes IP, no alarm fires. The</w:t>
      </w:r>
      <w:r>
        <w:t xml:space="preserve"> </w:t>
      </w:r>
      <w:r>
        <w:t xml:space="preserve">divergence accumulates quietly until a workload that happens to query from</w:t>
      </w:r>
      <w:r>
        <w:t xml:space="preserve"> </w:t>
      </w:r>
      <w:r>
        <w:t xml:space="preserve">AWS fails — and the failure looks like a network problem, not a DNS problem.</w:t>
      </w:r>
    </w:p>
    <w:p>
      <w:pPr>
        <w:pStyle w:val="BodyText"/>
      </w:pPr>
      <w:r>
        <w:t xml:space="preserve">Second, the change surface is too large. Every private endpoint provisioning,</w:t>
      </w:r>
      <w:r>
        <w:t xml:space="preserve"> </w:t>
      </w:r>
      <w:r>
        <w:t xml:space="preserve">every IP address reassignment, every new workload deployment has DNS</w:t>
      </w:r>
      <w:r>
        <w:t xml:space="preserve"> </w:t>
      </w:r>
      <w:r>
        <w:t xml:space="preserve">implications across all five systems. In a large federal estate with dozens of</w:t>
      </w:r>
      <w:r>
        <w:t xml:space="preserve"> </w:t>
      </w:r>
      <w:r>
        <w:t xml:space="preserve">teams provisioning cloud resources, the rate of DNS changes exceeds any manual</w:t>
      </w:r>
      <w:r>
        <w:t xml:space="preserve"> </w:t>
      </w:r>
      <w:r>
        <w:t xml:space="preserve">synchronization process’s ability to keep up.</w:t>
      </w:r>
    </w:p>
    <w:p>
      <w:pPr>
        <w:pStyle w:val="BodyText"/>
      </w:pPr>
      <w:r>
        <w:t xml:space="preserve">Third, the five systems have different APIs, different rate limits, different</w:t>
      </w:r>
      <w:r>
        <w:t xml:space="preserve"> </w:t>
      </w:r>
      <w:r>
        <w:t xml:space="preserve">propagation delays, and different consistency models. Even a fully automated</w:t>
      </w:r>
      <w:r>
        <w:t xml:space="preserve"> </w:t>
      </w:r>
      <w:r>
        <w:t xml:space="preserve">synchronization process must solve the ordering and conflict-resolution problems</w:t>
      </w:r>
      <w:r>
        <w:t xml:space="preserve"> </w:t>
      </w:r>
      <w:r>
        <w:t xml:space="preserve">that arise when the five systems update at different speeds.</w:t>
      </w:r>
    </w:p>
    <w:p>
      <w:pPr>
        <w:pStyle w:val="BodyText"/>
      </w:pPr>
      <w:r>
        <w:t xml:space="preserve">The only structural fix is a unified control plane that holds the authoritative</w:t>
      </w:r>
      <w:r>
        <w:t xml:space="preserve"> </w:t>
      </w:r>
      <w:r>
        <w:t xml:space="preserve">policy objects and propagates them to all five surfaces simultaneously — so that</w:t>
      </w:r>
      <w:r>
        <w:t xml:space="preserve"> </w:t>
      </w:r>
      <w:r>
        <w:t xml:space="preserve">the question of whether Route 53 has the current forwarding rules is answered</w:t>
      </w:r>
      <w:r>
        <w:t xml:space="preserve"> </w:t>
      </w:r>
      <w:r>
        <w:t xml:space="preserve">by the control plane, not by manual audit.</w:t>
      </w:r>
    </w:p>
    <w:p>
      <w:r>
        <w:pict>
          <v:rect style="width:0;height:1.5pt" o:hralign="center" o:hrstd="t" o:hr="t"/>
        </w:pict>
      </w:r>
    </w:p>
    <w:bookmarkEnd w:id="31"/>
    <w:bookmarkEnd w:id="32"/>
    <w:bookmarkStart w:id="34" w:name="X9e1c08ed31037dddb9a721751b1a05102e9b8b0"/>
    <w:p>
      <w:pPr>
        <w:pStyle w:val="Heading2"/>
      </w:pPr>
      <w:r>
        <w:t xml:space="preserve">Part 3 — The Modern DNS Record Catalog: Types, Security Integration, and Application-Aware Routing</w:t>
      </w:r>
    </w:p>
    <w:p>
      <w:pPr>
        <w:pStyle w:val="FirstParagraph"/>
      </w:pPr>
      <w:r>
        <w:t xml:space="preserve">DNS is a protocol with more than fifty standardized record types, and at</w:t>
      </w:r>
      <w:r>
        <w:t xml:space="preserve"> </w:t>
      </w:r>
      <w:r>
        <w:t xml:space="preserve">least fifteen of them are directly relevant to federal hybrid multi-cloud</w:t>
      </w:r>
      <w:r>
        <w:t xml:space="preserve"> </w:t>
      </w:r>
      <w:r>
        <w:t xml:space="preserve">security, certificate governance, application-aware routing, and threat</w:t>
      </w:r>
      <w:r>
        <w:t xml:space="preserve"> </w:t>
      </w:r>
      <w:r>
        <w:t xml:space="preserve">defense — address and alias records, service discovery (SRV/NAPTR),</w:t>
      </w:r>
      <w:r>
        <w:t xml:space="preserve"> </w:t>
      </w:r>
      <w:r>
        <w:t xml:space="preserve">certificate governance (CAA/TLSA/SSHFP/SMIMEA), email authentication</w:t>
      </w:r>
      <w:r>
        <w:t xml:space="preserve"> </w:t>
      </w:r>
      <w:r>
        <w:t xml:space="preserve">(SPF/DKIM/DMARC/BIMI/MTA-STS), modern service binding (HTTPS/SVCB), and</w:t>
      </w:r>
      <w:r>
        <w:t xml:space="preserve"> </w:t>
      </w:r>
      <w:r>
        <w:t xml:space="preserve">the full DNSSEC record family (DNSKEY/DS/RRSIG/NSEC3/CDS/CDNSKEY). A</w:t>
      </w:r>
      <w:r>
        <w:t xml:space="preserve"> </w:t>
      </w:r>
      <w:r>
        <w:t xml:space="preserve">security-integration matrix cross-references all nineteen record types</w:t>
      </w:r>
      <w:r>
        <w:t xml:space="preserve"> </w:t>
      </w:r>
      <w:r>
        <w:t xml:space="preserve">against DNSSEC dependency, CA/PKI integration, split-brain impact,</w:t>
      </w:r>
      <w:r>
        <w:t xml:space="preserve"> </w:t>
      </w:r>
      <w:r>
        <w:t xml:space="preserve">threat-defense relevance, and application-aware routing — a single table</w:t>
      </w:r>
      <w:r>
        <w:t xml:space="preserve"> </w:t>
      </w:r>
      <w:r>
        <w:t xml:space="preserve">a practitioner can use to reason about any record type’s governance</w:t>
      </w:r>
      <w:r>
        <w:t xml:space="preserve"> </w:t>
      </w:r>
      <w:r>
        <w:t xml:space="preserve">requirements. That catalog and matrix have been moved into their own</w:t>
      </w:r>
      <w:r>
        <w:t xml:space="preserve"> </w:t>
      </w:r>
      <w:r>
        <w:t xml:space="preserve">reference document so they can be bookmarked and searched independently</w:t>
      </w:r>
      <w:r>
        <w:t xml:space="preserve"> </w:t>
      </w:r>
      <w:r>
        <w:t xml:space="preserve">of this paper’s argument.</w:t>
      </w:r>
    </w:p>
    <w:p>
      <w:pPr>
        <w:pStyle w:val="BodyText"/>
      </w:pPr>
      <w:r>
        <w:t xml:space="preserve">For the full record-type catalog, including the security-integration</w:t>
      </w:r>
      <w:r>
        <w:t xml:space="preserve"> </w:t>
      </w:r>
      <w:r>
        <w:t xml:space="preserve">matrix, see</w:t>
      </w:r>
      <w:r>
        <w:t xml:space="preserve"> </w:t>
      </w:r>
      <w:hyperlink r:id="rId33">
        <w:r>
          <w:rPr>
            <w:rStyle w:val="Hyperlink"/>
          </w:rPr>
          <w:t xml:space="preserve">DNS Record Types and Universal DDI Ecosystem Integrations — Reference Companion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bookmarkEnd w:id="34"/>
    <w:bookmarkStart w:id="42" w:name="Xa804a38815d48e8583d6d0fbba55feafe526862"/>
    <w:p>
      <w:pPr>
        <w:pStyle w:val="Heading2"/>
      </w:pPr>
      <w:r>
        <w:t xml:space="preserve">Part 4 — The Active Directory DNS Departure</w:t>
      </w:r>
    </w:p>
    <w:bookmarkStart w:id="35" w:name="what-active-directory-dns-actually-does"/>
    <w:p>
      <w:pPr>
        <w:pStyle w:val="Heading3"/>
      </w:pPr>
      <w:r>
        <w:t xml:space="preserve">4.1 What Active Directory DNS actually does</w:t>
      </w:r>
    </w:p>
    <w:p>
      <w:pPr>
        <w:pStyle w:val="FirstParagraph"/>
      </w:pPr>
      <w:r>
        <w:t xml:space="preserve">For twenty years, Active Directory has been the DNS server for most federal</w:t>
      </w:r>
      <w:r>
        <w:t xml:space="preserve"> </w:t>
      </w:r>
      <w:r>
        <w:t xml:space="preserve">on-premises networks — not as an architectural choice but as a consequence of</w:t>
      </w:r>
      <w:r>
        <w:t xml:space="preserve"> </w:t>
      </w:r>
      <w:r>
        <w:t xml:space="preserve">how AD works. When a Windows domain is deployed, the domain name (e.g.,</w:t>
      </w:r>
      <w:r>
        <w:t xml:space="preserve"> </w:t>
      </w:r>
      <w:r>
        <w:rPr>
          <w:rStyle w:val="VerbatimChar"/>
        </w:rPr>
        <w:t xml:space="preserve">agency.gov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agency.local</w:t>
      </w:r>
      <w:r>
        <w:t xml:space="preserve">) becomes a DNS zone, and the domain controllers</w:t>
      </w:r>
      <w:r>
        <w:t xml:space="preserve"> </w:t>
      </w:r>
      <w:r>
        <w:t xml:space="preserve">become the authoritative DNS servers for that zone. Every domain-joined device</w:t>
      </w:r>
      <w:r>
        <w:t xml:space="preserve"> </w:t>
      </w:r>
      <w:r>
        <w:t xml:space="preserve">queries AD DNS for everything — not just domain-specific lookups, but all</w:t>
      </w:r>
      <w:r>
        <w:t xml:space="preserve"> </w:t>
      </w:r>
      <w:r>
        <w:t xml:space="preserve">recursive resolution. AD DNS is the default resolver for every workstation,</w:t>
      </w:r>
      <w:r>
        <w:t xml:space="preserve"> </w:t>
      </w:r>
      <w:r>
        <w:t xml:space="preserve">server, and network-joined device in the enterprise.</w:t>
      </w:r>
    </w:p>
    <w:p>
      <w:pPr>
        <w:pStyle w:val="BodyText"/>
      </w:pPr>
      <w:r>
        <w:t xml:space="preserve">The DNS records AD maintains are not just name-to-address mappings. AD DNS is</w:t>
      </w:r>
      <w:r>
        <w:t xml:space="preserve"> </w:t>
      </w:r>
      <w:r>
        <w:t xml:space="preserve">the backbone of Windows authentication and directory service discovery:</w:t>
      </w:r>
    </w:p>
    <w:p>
      <w:pPr>
        <w:pStyle w:val="BodyText"/>
      </w:pPr>
      <w:r>
        <w:rPr>
          <w:b/>
          <w:bCs/>
        </w:rPr>
        <w:t xml:space="preserve">SRV records for Kerberos.</w:t>
      </w:r>
      <w:r>
        <w:t xml:space="preserve"> </w:t>
      </w:r>
      <w:r>
        <w:rPr>
          <w:rStyle w:val="VerbatimChar"/>
        </w:rPr>
        <w:t xml:space="preserve">_kerberos._tcp.agency.gov</w:t>
      </w:r>
      <w:r>
        <w:t xml:space="preserve"> </w:t>
      </w:r>
      <w:r>
        <w:t xml:space="preserve">is a DNS SRV record</w:t>
      </w:r>
      <w:r>
        <w:t xml:space="preserve"> </w:t>
      </w:r>
      <w:r>
        <w:t xml:space="preserve">that points clients to Kerberos KDCs. Every Kerberos authentication starts with</w:t>
      </w:r>
      <w:r>
        <w:t xml:space="preserve"> </w:t>
      </w:r>
      <w:r>
        <w:t xml:space="preserve">a DNS query for this record. If it is missing or wrong, Kerberos fails.</w:t>
      </w:r>
    </w:p>
    <w:p>
      <w:pPr>
        <w:pStyle w:val="BodyText"/>
      </w:pPr>
      <w:r>
        <w:rPr>
          <w:b/>
          <w:bCs/>
        </w:rPr>
        <w:t xml:space="preserve">SRV records for LDAP.</w:t>
      </w:r>
      <w:r>
        <w:t xml:space="preserve"> </w:t>
      </w:r>
      <w:r>
        <w:rPr>
          <w:rStyle w:val="VerbatimChar"/>
        </w:rPr>
        <w:t xml:space="preserve">_ldap._tcp.agency.gov</w:t>
      </w:r>
      <w:r>
        <w:t xml:space="preserve"> </w:t>
      </w:r>
      <w:r>
        <w:t xml:space="preserve">points clients to domain</w:t>
      </w:r>
      <w:r>
        <w:t xml:space="preserve"> </w:t>
      </w:r>
      <w:r>
        <w:t xml:space="preserve">controllers for LDAP queries — group membership, policy application, user</w:t>
      </w:r>
      <w:r>
        <w:t xml:space="preserve"> </w:t>
      </w:r>
      <w:r>
        <w:t xml:space="preserve">attribute lookup. Every AD-aware application queries this record.</w:t>
      </w:r>
    </w:p>
    <w:p>
      <w:pPr>
        <w:pStyle w:val="BodyText"/>
      </w:pPr>
      <w:r>
        <w:rPr>
          <w:b/>
          <w:bCs/>
        </w:rPr>
        <w:t xml:space="preserve">DC locator records.</w:t>
      </w:r>
      <w:r>
        <w:t xml:space="preserve"> </w:t>
      </w:r>
      <w:r>
        <w:t xml:space="preserve">Domain controllers register a family of SRV and A</w:t>
      </w:r>
      <w:r>
        <w:t xml:space="preserve"> </w:t>
      </w:r>
      <w:r>
        <w:t xml:space="preserve">records that allow clients to find the nearest DC by site, by service, and</w:t>
      </w:r>
      <w:r>
        <w:t xml:space="preserve"> </w:t>
      </w:r>
      <w:r>
        <w:t xml:space="preserve">by capability. These records are dynamically maintained by the Netlogon service</w:t>
      </w:r>
      <w:r>
        <w:t xml:space="preserve"> </w:t>
      </w:r>
      <w:r>
        <w:t xml:space="preserve">on every DC. They are not static; they change when DCs are decommissioned,</w:t>
      </w:r>
      <w:r>
        <w:t xml:space="preserve"> </w:t>
      </w:r>
      <w:r>
        <w:t xml:space="preserve">when AD sites are reconfigured, or when DC services change.</w:t>
      </w:r>
    </w:p>
    <w:p>
      <w:pPr>
        <w:pStyle w:val="BodyText"/>
      </w:pPr>
      <w:r>
        <w:rPr>
          <w:b/>
          <w:bCs/>
        </w:rPr>
        <w:t xml:space="preserve">DFS namespace records.</w:t>
      </w:r>
      <w:r>
        <w:t xml:space="preserve"> </w:t>
      </w:r>
      <w:r>
        <w:t xml:space="preserve">Distributed File System namespaces are published</w:t>
      </w:r>
      <w:r>
        <w:t xml:space="preserve"> </w:t>
      </w:r>
      <w:r>
        <w:t xml:space="preserve">via DNS. File share access for roaming profiles, home drives, and shared</w:t>
      </w:r>
      <w:r>
        <w:t xml:space="preserve"> </w:t>
      </w:r>
      <w:r>
        <w:t xml:space="preserve">storage all depend on DNS records that AD maintains.</w:t>
      </w:r>
    </w:p>
    <w:p>
      <w:pPr>
        <w:pStyle w:val="BodyText"/>
      </w:pPr>
      <w:r>
        <w:rPr>
          <w:b/>
          <w:bCs/>
        </w:rPr>
        <w:t xml:space="preserve">GPO application.</w:t>
      </w:r>
      <w:r>
        <w:t xml:space="preserve"> </w:t>
      </w:r>
      <w:r>
        <w:t xml:space="preserve">Group Policy Objects are applied to machines in a domain.</w:t>
      </w:r>
      <w:r>
        <w:t xml:space="preserve"> </w:t>
      </w:r>
      <w:r>
        <w:t xml:space="preserve">The policy application process begins with an LDAP query for the DC, which</w:t>
      </w:r>
      <w:r>
        <w:t xml:space="preserve"> </w:t>
      </w:r>
      <w:r>
        <w:t xml:space="preserve">begins with a DNS query for the LDAP SRV record. GPO does not function if</w:t>
      </w:r>
      <w:r>
        <w:t xml:space="preserve"> </w:t>
      </w:r>
      <w:r>
        <w:t xml:space="preserve">AD DNS is not functioning.</w:t>
      </w:r>
    </w:p>
    <w:p>
      <w:pPr>
        <w:pStyle w:val="BodyText"/>
      </w:pPr>
      <w:r>
        <w:t xml:space="preserve">The operational implication: AD DNS is not a service that runs alongside</w:t>
      </w:r>
      <w:r>
        <w:t xml:space="preserve"> </w:t>
      </w:r>
      <w:r>
        <w:t xml:space="preserve">the enterprise. It is the service that everything else depends on. When AD</w:t>
      </w:r>
      <w:r>
        <w:t xml:space="preserve"> </w:t>
      </w:r>
      <w:r>
        <w:t xml:space="preserve">DNS is unavailable, authentication fails, policy fails, file access fails,</w:t>
      </w:r>
      <w:r>
        <w:t xml:space="preserve"> </w:t>
      </w:r>
      <w:r>
        <w:t xml:space="preserve">and every Windows-integrated application fails simultaneously.</w:t>
      </w:r>
    </w:p>
    <w:bookmarkEnd w:id="35"/>
    <w:bookmarkStart w:id="39" w:name="microsofts-deprecation-trajectory"/>
    <w:p>
      <w:pPr>
        <w:pStyle w:val="Heading3"/>
      </w:pPr>
      <w:r>
        <w:t xml:space="preserve">4.2 Microsoft’s deprecation trajectory</w:t>
      </w:r>
    </w:p>
    <w:p>
      <w:pPr>
        <w:pStyle w:val="FirstParagraph"/>
      </w:pPr>
      <w:r>
        <w:t xml:space="preserve">Microsoft has been steadily shifting new identity investment from Active</w:t>
      </w:r>
      <w:r>
        <w:t xml:space="preserve"> </w:t>
      </w:r>
      <w:r>
        <w:t xml:space="preserve">Directory to Entra ID. AD DS is not deprecated — it remains supported in</w:t>
      </w:r>
      <w:r>
        <w:t xml:space="preserve"> </w:t>
      </w:r>
      <w:r>
        <w:t xml:space="preserve">Windows Server 2025</w:t>
      </w:r>
      <w:r>
        <w:rPr>
          <w:rStyle w:val="FootnoteReference"/>
        </w:rPr>
        <w:footnoteReference w:id="36"/>
      </w:r>
      <w:r>
        <w:t xml:space="preserve"> </w:t>
      </w:r>
      <w:r>
        <w:t xml:space="preserve">— but the trajectory of Microsoft’s guidance</w:t>
      </w:r>
      <w:r>
        <w:t xml:space="preserve"> </w:t>
      </w:r>
      <w:r>
        <w:t xml:space="preserve">is clear: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Entra ID (Azure AD)</w:t>
      </w:r>
      <w:r>
        <w:t xml:space="preserve"> </w:t>
      </w:r>
      <w:r>
        <w:t xml:space="preserve">replaces AD as the identity plane for cloud and</w:t>
      </w:r>
      <w:r>
        <w:t xml:space="preserve"> </w:t>
      </w:r>
      <w:r>
        <w:t xml:space="preserve">modern applications. Entra ID is not AD — it has no LDAP endpoint, no</w:t>
      </w:r>
      <w:r>
        <w:t xml:space="preserve"> </w:t>
      </w:r>
      <w:r>
        <w:t xml:space="preserve">Kerberos KDC (in the traditional sense), no Group Policy, and no SRV records.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Entra hybrid join</w:t>
      </w:r>
      <w:r>
        <w:t xml:space="preserve"> </w:t>
      </w:r>
      <w:r>
        <w:t xml:space="preserve">connects AD-joined devices to Entra ID, but the device</w:t>
      </w:r>
      <w:r>
        <w:t xml:space="preserve"> </w:t>
      </w:r>
      <w:r>
        <w:t xml:space="preserve">is still fundamentally AD-dependent for its core operations.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Entra-only join</w:t>
      </w:r>
      <w:r>
        <w:t xml:space="preserve"> </w:t>
      </w:r>
      <w:r>
        <w:t xml:space="preserve">removes the AD dependency entirely. An Entra-only joined</w:t>
      </w:r>
      <w:r>
        <w:t xml:space="preserve"> </w:t>
      </w:r>
      <w:r>
        <w:t xml:space="preserve">device authenticates via token, not Kerberos. It does not query AD DNS for</w:t>
      </w:r>
      <w:r>
        <w:t xml:space="preserve"> </w:t>
      </w:r>
      <w:r>
        <w:t xml:space="preserve">SRV records. It does not require a domain controller to be reachable.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Microsoft’s published guidance</w:t>
      </w:r>
      <w:r>
        <w:t xml:space="preserve"> </w:t>
      </w:r>
      <w:r>
        <w:t xml:space="preserve">for new deployments consistently recommends</w:t>
      </w:r>
      <w:r>
        <w:t xml:space="preserve"> </w:t>
      </w:r>
      <w:r>
        <w:t xml:space="preserve">Entra-only join, cloud-only identities, and Entra ID as the primary identity</w:t>
      </w:r>
      <w:r>
        <w:t xml:space="preserve"> </w:t>
      </w:r>
      <w:r>
        <w:t xml:space="preserve">provider — with on-premises AD minimized over time.</w:t>
      </w:r>
      <w:r>
        <w:rPr>
          <w:rStyle w:val="FootnoteReference"/>
        </w:rPr>
        <w:footnoteReference w:id="37"/>
      </w:r>
    </w:p>
    <w:p>
      <w:pPr>
        <w:pStyle w:val="FirstParagraph"/>
      </w:pPr>
      <w:r>
        <w:t xml:space="preserve">The FMP SQL Server Identity Transformation series documents this trajectory</w:t>
      </w:r>
      <w:r>
        <w:t xml:space="preserve"> </w:t>
      </w:r>
      <w:r>
        <w:t xml:space="preserve">in the context of database authentication. The pattern is universal: every</w:t>
      </w:r>
      <w:r>
        <w:t xml:space="preserve"> </w:t>
      </w:r>
      <w:r>
        <w:t xml:space="preserve">place that AD authentication is used is a retirement candidate, and every</w:t>
      </w:r>
      <w:r>
        <w:t xml:space="preserve"> </w:t>
      </w:r>
      <w:r>
        <w:t xml:space="preserve">retirement exposes a DNS dependency that was previously invisible.</w:t>
      </w:r>
    </w:p>
    <w:bookmarkEnd w:id="39"/>
    <w:bookmarkStart w:id="40" w:name="what-happens-to-dns-when-ad-goes-away"/>
    <w:p>
      <w:pPr>
        <w:pStyle w:val="Heading3"/>
      </w:pPr>
      <w:r>
        <w:t xml:space="preserve">4.3 What happens to DNS when AD goes away</w:t>
      </w:r>
    </w:p>
    <w:p>
      <w:pPr>
        <w:pStyle w:val="FirstParagraph"/>
      </w:pPr>
      <w:r>
        <w:t xml:space="preserve">When an agency begins decommissioning domain controllers and migrating to</w:t>
      </w:r>
      <w:r>
        <w:t xml:space="preserve"> </w:t>
      </w:r>
      <w:r>
        <w:t xml:space="preserve">Entra-only identities, the DNS records that AD maintained do not migrate</w:t>
      </w:r>
      <w:r>
        <w:t xml:space="preserve"> </w:t>
      </w:r>
      <w:r>
        <w:t xml:space="preserve">automatically. They are not exported, not converted, and not reprovisioned</w:t>
      </w:r>
      <w:r>
        <w:t xml:space="preserve"> </w:t>
      </w:r>
      <w:r>
        <w:t xml:space="preserve">in a replacement DNS server unless someone explicitly plans for it. The</w:t>
      </w:r>
      <w:r>
        <w:t xml:space="preserve"> </w:t>
      </w:r>
      <w:r>
        <w:t xml:space="preserve">records simply stop being maintained — and when the last DC is decommissioned,</w:t>
      </w:r>
      <w:r>
        <w:t xml:space="preserve"> </w:t>
      </w:r>
      <w:r>
        <w:t xml:space="preserve">they disappear.</w:t>
      </w:r>
    </w:p>
    <w:p>
      <w:pPr>
        <w:pStyle w:val="BodyText"/>
      </w:pPr>
      <w:r>
        <w:t xml:space="preserve">The applications that depended on those records are not notified. They continue</w:t>
      </w:r>
      <w:r>
        <w:t xml:space="preserve"> </w:t>
      </w:r>
      <w:r>
        <w:t xml:space="preserve">to query DNS for records that no longer exist. Kerberos-dependent applications</w:t>
      </w:r>
      <w:r>
        <w:t xml:space="preserve"> </w:t>
      </w:r>
      <w:r>
        <w:t xml:space="preserve">fail. LDAP-dependent applications fail. Any application that used AD DNS</w:t>
      </w:r>
      <w:r>
        <w:t xml:space="preserve"> </w:t>
      </w:r>
      <w:r>
        <w:t xml:space="preserve">as its recursive resolver and relied on the AD-managed conditional forwarding</w:t>
      </w:r>
      <w:r>
        <w:t xml:space="preserve"> </w:t>
      </w:r>
      <w:r>
        <w:t xml:space="preserve">rules to reach on-premises services now queries a resolver that may not have</w:t>
      </w:r>
      <w:r>
        <w:t xml:space="preserve"> </w:t>
      </w:r>
      <w:r>
        <w:t xml:space="preserve">those forwarding rules configured.</w:t>
      </w:r>
    </w:p>
    <w:p>
      <w:pPr>
        <w:pStyle w:val="BodyText"/>
      </w:pPr>
      <w:r>
        <w:t xml:space="preserve">The agencies most at risk are those that have already begun Entra migration</w:t>
      </w:r>
      <w:r>
        <w:t xml:space="preserve"> </w:t>
      </w:r>
      <w:r>
        <w:t xml:space="preserve">but have not yet established a DNS governance program outside of AD. They are</w:t>
      </w:r>
      <w:r>
        <w:t xml:space="preserve"> </w:t>
      </w:r>
      <w:r>
        <w:t xml:space="preserve">consuming AD DNS without recognizing that it is the thread holding together</w:t>
      </w:r>
      <w:r>
        <w:t xml:space="preserve"> </w:t>
      </w:r>
      <w:r>
        <w:t xml:space="preserve">their hybrid DNS topology — and when that thread is cut, the topology</w:t>
      </w:r>
      <w:r>
        <w:t xml:space="preserve"> </w:t>
      </w:r>
      <w:r>
        <w:t xml:space="preserve">collapses.</w:t>
      </w:r>
    </w:p>
    <w:bookmarkEnd w:id="40"/>
    <w:bookmarkStart w:id="41" w:name="Xfd7e20349ff451769de75f79bbfdff3b3347c41"/>
    <w:p>
      <w:pPr>
        <w:pStyle w:val="Heading3"/>
      </w:pPr>
      <w:r>
        <w:t xml:space="preserve">4.4 What must be reprovisioned before AD leaves</w:t>
      </w:r>
    </w:p>
    <w:p>
      <w:pPr>
        <w:pStyle w:val="FirstParagraph"/>
      </w:pPr>
      <w:r>
        <w:t xml:space="preserve">A DNS governance program that runs alongside AD retirement must explicitly</w:t>
      </w:r>
      <w:r>
        <w:t xml:space="preserve"> </w:t>
      </w:r>
      <w:r>
        <w:t xml:space="preserve">account for every DNS record category that AD currently maintains:</w:t>
      </w:r>
    </w:p>
    <w:p>
      <w:pPr>
        <w:numPr>
          <w:ilvl w:val="0"/>
          <w:numId w:val="1006"/>
        </w:numPr>
      </w:pPr>
      <w:r>
        <w:t xml:space="preserve">Kerberos and LDAP SRV records must be reprovisioned in the replacement</w:t>
      </w:r>
      <w:r>
        <w:t xml:space="preserve"> </w:t>
      </w:r>
      <w:r>
        <w:t xml:space="preserve">DNS system for any service that will continue to use them during a transition</w:t>
      </w:r>
      <w:r>
        <w:t xml:space="preserve"> </w:t>
      </w:r>
      <w:r>
        <w:t xml:space="preserve">period. If Kerberos is being replaced by token authentication in parallel,</w:t>
      </w:r>
      <w:r>
        <w:t xml:space="preserve"> </w:t>
      </w:r>
      <w:r>
        <w:t xml:space="preserve">the SRV records can be allowed to expire — but the timeline must be</w:t>
      </w:r>
      <w:r>
        <w:t xml:space="preserve"> </w:t>
      </w:r>
      <w:r>
        <w:t xml:space="preserve">coordinated, not accidental.</w:t>
      </w:r>
    </w:p>
    <w:p>
      <w:pPr>
        <w:numPr>
          <w:ilvl w:val="0"/>
          <w:numId w:val="1006"/>
        </w:numPr>
      </w:pPr>
      <w:r>
        <w:t xml:space="preserve">DC locator records must be maintained in the replacement DNS system until</w:t>
      </w:r>
      <w:r>
        <w:t xml:space="preserve"> </w:t>
      </w:r>
      <w:r>
        <w:t xml:space="preserve">every workload that queries for them has been migrated to Entra-only</w:t>
      </w:r>
      <w:r>
        <w:t xml:space="preserve"> </w:t>
      </w:r>
      <w:r>
        <w:t xml:space="preserve">authentication.</w:t>
      </w:r>
    </w:p>
    <w:p>
      <w:pPr>
        <w:numPr>
          <w:ilvl w:val="0"/>
          <w:numId w:val="1006"/>
        </w:numPr>
      </w:pPr>
      <w:r>
        <w:t xml:space="preserve">Conditional forwarding rules must be inventoried, exported, and reprovisioned</w:t>
      </w:r>
      <w:r>
        <w:t xml:space="preserve"> </w:t>
      </w:r>
      <w:r>
        <w:t xml:space="preserve">in the replacement DNS platform. This is the most commonly missed step:</w:t>
      </w:r>
      <w:r>
        <w:t xml:space="preserve"> </w:t>
      </w:r>
      <w:r>
        <w:t xml:space="preserve">AD DNS conditional forwarding is configured in the DNS Manager GUI and</w:t>
      </w:r>
      <w:r>
        <w:t xml:space="preserve"> </w:t>
      </w:r>
      <w:r>
        <w:t xml:space="preserve">is not easily exported. Many agencies have no record of what conditional</w:t>
      </w:r>
      <w:r>
        <w:t xml:space="preserve"> </w:t>
      </w:r>
      <w:r>
        <w:t xml:space="preserve">forwarding rules their AD DNS servers maintain.</w:t>
      </w:r>
    </w:p>
    <w:p>
      <w:pPr>
        <w:numPr>
          <w:ilvl w:val="0"/>
          <w:numId w:val="1006"/>
        </w:numPr>
      </w:pPr>
      <w:r>
        <w:t xml:space="preserve">The DNS namespace itself — the internal domain (</w:t>
      </w:r>
      <w:r>
        <w:rPr>
          <w:rStyle w:val="VerbatimChar"/>
        </w:rPr>
        <w:t xml:space="preserve">agency.gov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agency.local</w:t>
      </w:r>
      <w:r>
        <w:t xml:space="preserve">)</w:t>
      </w:r>
      <w:r>
        <w:t xml:space="preserve"> </w:t>
      </w:r>
      <w:r>
        <w:t xml:space="preserve">— must be reprovisioned as a zone in the replacement DNS system. Infoblox</w:t>
      </w:r>
      <w:r>
        <w:t xml:space="preserve"> </w:t>
      </w:r>
      <w:r>
        <w:t xml:space="preserve">NIOS is the natural landing point for this zone, but the zone must be</w:t>
      </w:r>
      <w:r>
        <w:t xml:space="preserve"> </w:t>
      </w:r>
      <w:r>
        <w:t xml:space="preserve">explicitly created and populated, not assumed.</w:t>
      </w:r>
    </w:p>
    <w:p>
      <w:r>
        <w:pict>
          <v:rect style="width:0;height:1.5pt" o:hralign="center" o:hrstd="t" o:hr="t"/>
        </w:pict>
      </w:r>
    </w:p>
    <w:bookmarkEnd w:id="41"/>
    <w:bookmarkEnd w:id="42"/>
    <w:bookmarkStart w:id="48" w:name="X41cd3c7656b2a40dff986e6d9b5eb06bda4c2ca"/>
    <w:p>
      <w:pPr>
        <w:pStyle w:val="Heading2"/>
      </w:pPr>
      <w:r>
        <w:t xml:space="preserve">Part 5 — Kerberos to Tokens: The Certificate-DNS Surface Problem</w:t>
      </w:r>
    </w:p>
    <w:bookmarkStart w:id="43" w:name="how-kerberos-uses-dns"/>
    <w:p>
      <w:pPr>
        <w:pStyle w:val="Heading3"/>
      </w:pPr>
      <w:r>
        <w:t xml:space="preserve">5.1 How Kerberos uses DNS</w:t>
      </w:r>
    </w:p>
    <w:p>
      <w:pPr>
        <w:pStyle w:val="FirstParagraph"/>
      </w:pPr>
      <w:r>
        <w:t xml:space="preserve">Kerberos authentication has a deep and often underappreciated dependency on</w:t>
      </w:r>
      <w:r>
        <w:t xml:space="preserve"> </w:t>
      </w:r>
      <w:r>
        <w:t xml:space="preserve">DNS. When a client authenticates to a service using Kerberos, the process</w:t>
      </w:r>
      <w:r>
        <w:t xml:space="preserve"> </w:t>
      </w:r>
      <w:r>
        <w:t xml:space="preserve">begins with a DNS lookup:</w:t>
      </w:r>
    </w:p>
    <w:p>
      <w:pPr>
        <w:pStyle w:val="Compact"/>
        <w:numPr>
          <w:ilvl w:val="0"/>
          <w:numId w:val="1007"/>
        </w:numPr>
      </w:pPr>
      <w:r>
        <w:t xml:space="preserve">The client queries DNS for the KDC SRV record (</w:t>
      </w:r>
      <w:r>
        <w:rPr>
          <w:rStyle w:val="VerbatimChar"/>
        </w:rPr>
        <w:t xml:space="preserve">_kerberos._tcp.&lt;realm&gt;</w:t>
      </w:r>
      <w:r>
        <w:t xml:space="preserve">)</w:t>
      </w:r>
      <w:r>
        <w:t xml:space="preserve"> </w:t>
      </w:r>
      <w:r>
        <w:t xml:space="preserve">to find the Key Distribution Center.</w:t>
      </w:r>
    </w:p>
    <w:p>
      <w:pPr>
        <w:pStyle w:val="Compact"/>
        <w:numPr>
          <w:ilvl w:val="0"/>
          <w:numId w:val="1007"/>
        </w:numPr>
      </w:pPr>
      <w:r>
        <w:t xml:space="preserve">The client requests a Ticket-Granting Ticket (TGT) from the KDC.</w:t>
      </w:r>
    </w:p>
    <w:p>
      <w:pPr>
        <w:pStyle w:val="Compact"/>
        <w:numPr>
          <w:ilvl w:val="0"/>
          <w:numId w:val="1007"/>
        </w:numPr>
      </w:pPr>
      <w:r>
        <w:t xml:space="preserve">The client requests a service ticket for the target service, identified</w:t>
      </w:r>
      <w:r>
        <w:t xml:space="preserve"> </w:t>
      </w:r>
      <w:r>
        <w:t xml:space="preserve">by its Service Principal Name (SPN).</w:t>
      </w:r>
    </w:p>
    <w:p>
      <w:pPr>
        <w:pStyle w:val="Compact"/>
        <w:numPr>
          <w:ilvl w:val="0"/>
          <w:numId w:val="1007"/>
        </w:numPr>
      </w:pPr>
      <w:r>
        <w:t xml:space="preserve">The SPN includes the FQDN of the target service. The KDC validates the</w:t>
      </w:r>
      <w:r>
        <w:t xml:space="preserve"> </w:t>
      </w:r>
      <w:r>
        <w:t xml:space="preserve">SPN against the service account registered in AD.</w:t>
      </w:r>
    </w:p>
    <w:p>
      <w:pPr>
        <w:pStyle w:val="Compact"/>
        <w:numPr>
          <w:ilvl w:val="0"/>
          <w:numId w:val="1007"/>
        </w:numPr>
      </w:pPr>
      <w:r>
        <w:t xml:space="preserve">The client presents the service ticket. The service validates it by</w:t>
      </w:r>
      <w:r>
        <w:t xml:space="preserve"> </w:t>
      </w:r>
      <w:r>
        <w:t xml:space="preserve">resolving the SPN back to an IP and confirming it matches the connection.</w:t>
      </w:r>
    </w:p>
    <w:p>
      <w:pPr>
        <w:pStyle w:val="FirstParagraph"/>
      </w:pPr>
      <w:r>
        <w:t xml:space="preserve">Every step that involves an FQDN is a DNS dependency. If the KDC SRV record</w:t>
      </w:r>
      <w:r>
        <w:t xml:space="preserve"> </w:t>
      </w:r>
      <w:r>
        <w:t xml:space="preserve">is wrong, authentication fails at step 1. If the service’s FQDN does not</w:t>
      </w:r>
      <w:r>
        <w:t xml:space="preserve"> </w:t>
      </w:r>
      <w:r>
        <w:t xml:space="preserve">resolve to the server’s IP, the service ticket validation fails at step 5.</w:t>
      </w:r>
      <w:r>
        <w:t xml:space="preserve"> </w:t>
      </w:r>
      <w:r>
        <w:t xml:space="preserve">If split-brain DNS causes the client and the server to resolve the same FQDN</w:t>
      </w:r>
      <w:r>
        <w:t xml:space="preserve"> </w:t>
      </w:r>
      <w:r>
        <w:t xml:space="preserve">to different IPs, the service ticket is valid but the connection target</w:t>
      </w:r>
      <w:r>
        <w:t xml:space="preserve"> </w:t>
      </w:r>
      <w:r>
        <w:t xml:space="preserve">doesn’t match — authentication fails at step 5 in a way that is extremely</w:t>
      </w:r>
      <w:r>
        <w:t xml:space="preserve"> </w:t>
      </w:r>
      <w:r>
        <w:t xml:space="preserve">difficult to diagnose without knowing to look at DNS.</w:t>
      </w:r>
    </w:p>
    <w:bookmarkEnd w:id="43"/>
    <w:bookmarkStart w:id="44" w:name="Xfd43474c074458a2632593929d11bac72a7db9b"/>
    <w:p>
      <w:pPr>
        <w:pStyle w:val="Heading3"/>
      </w:pPr>
      <w:r>
        <w:t xml:space="preserve">5.2 How Entra ID tokens replace Kerberos — and why DNS still matters</w:t>
      </w:r>
    </w:p>
    <w:p>
      <w:pPr>
        <w:pStyle w:val="FirstParagraph"/>
      </w:pPr>
      <w:r>
        <w:t xml:space="preserve">Entra ID replaces Kerberos with OAuth 2.0 / OpenID Connect token-based</w:t>
      </w:r>
      <w:r>
        <w:t xml:space="preserve"> </w:t>
      </w:r>
      <w:r>
        <w:t xml:space="preserve">authentication. A client authenticates to Entra ID (via a browser redirect,</w:t>
      </w:r>
      <w:r>
        <w:t xml:space="preserve"> </w:t>
      </w:r>
      <w:r>
        <w:t xml:space="preserve">device code flow, or client credential grant), receives an access token, and</w:t>
      </w:r>
      <w:r>
        <w:t xml:space="preserve"> </w:t>
      </w:r>
      <w:r>
        <w:t xml:space="preserve">presents that token to the target service. The target service validates the</w:t>
      </w:r>
      <w:r>
        <w:t xml:space="preserve"> </w:t>
      </w:r>
      <w:r>
        <w:t xml:space="preserve">token’s signature, issuer, and audience claims against Entra ID’s public</w:t>
      </w:r>
      <w:r>
        <w:t xml:space="preserve"> </w:t>
      </w:r>
      <w:r>
        <w:t xml:space="preserve">key infrastructure — not against a KDC.</w:t>
      </w:r>
    </w:p>
    <w:p>
      <w:pPr>
        <w:pStyle w:val="BodyText"/>
      </w:pPr>
      <w:r>
        <w:t xml:space="preserve">This sounds like DNS is no longer involved. It is not. The OAuth flow</w:t>
      </w:r>
      <w:r>
        <w:t xml:space="preserve"> </w:t>
      </w:r>
      <w:r>
        <w:t xml:space="preserve">introduces a different DNS surface:</w:t>
      </w:r>
    </w:p>
    <w:p>
      <w:pPr>
        <w:pStyle w:val="BodyText"/>
      </w:pPr>
      <w:r>
        <w:rPr>
          <w:b/>
          <w:bCs/>
        </w:rPr>
        <w:t xml:space="preserve">Authorization endpoints.</w:t>
      </w:r>
      <w:r>
        <w:t xml:space="preserve"> </w:t>
      </w:r>
      <w:r>
        <w:t xml:space="preserve">The client must reach</w:t>
      </w:r>
      <w:r>
        <w:t xml:space="preserve"> </w:t>
      </w:r>
      <w:r>
        <w:rPr>
          <w:rStyle w:val="VerbatimChar"/>
        </w:rPr>
        <w:t xml:space="preserve">login.microsoftonline.com</w:t>
      </w:r>
      <w:r>
        <w:t xml:space="preserve"> </w:t>
      </w:r>
      <w:r>
        <w:t xml:space="preserve">(commercial) or</w:t>
      </w:r>
      <w:r>
        <w:t xml:space="preserve"> </w:t>
      </w:r>
      <w:r>
        <w:rPr>
          <w:rStyle w:val="VerbatimChar"/>
        </w:rPr>
        <w:t xml:space="preserve">login.microsoftonline.us</w:t>
      </w:r>
      <w:r>
        <w:t xml:space="preserve"> </w:t>
      </w:r>
      <w:r>
        <w:t xml:space="preserve">(GCC/DoD). These FQDNs must resolve</w:t>
      </w:r>
      <w:r>
        <w:t xml:space="preserve"> </w:t>
      </w:r>
      <w:r>
        <w:t xml:space="preserve">correctly and consistently. If split-brain DNS routes a GCC tenant’s</w:t>
      </w:r>
      <w:r>
        <w:t xml:space="preserve"> </w:t>
      </w:r>
      <w:r>
        <w:t xml:space="preserve">authentication traffic to the commercial login endpoint, authentication fails.</w:t>
      </w:r>
    </w:p>
    <w:p>
      <w:pPr>
        <w:pStyle w:val="BodyText"/>
      </w:pPr>
      <w:r>
        <w:rPr>
          <w:b/>
          <w:bCs/>
        </w:rPr>
        <w:t xml:space="preserve">Token audience claims.</w:t>
      </w:r>
      <w:r>
        <w:t xml:space="preserve"> </w:t>
      </w:r>
      <w:r>
        <w:t xml:space="preserve">An access token’s</w:t>
      </w:r>
      <w:r>
        <w:t xml:space="preserve"> </w:t>
      </w:r>
      <w:r>
        <w:rPr>
          <w:rStyle w:val="VerbatimChar"/>
        </w:rPr>
        <w:t xml:space="preserve">aud</w:t>
      </w:r>
      <w:r>
        <w:t xml:space="preserve"> </w:t>
      </w:r>
      <w:r>
        <w:t xml:space="preserve">(audience) claim contains</w:t>
      </w:r>
      <w:r>
        <w:t xml:space="preserve"> </w:t>
      </w:r>
      <w:r>
        <w:t xml:space="preserve">the FQDN or application ID of the target service. For a custom agency</w:t>
      </w:r>
      <w:r>
        <w:t xml:space="preserve"> </w:t>
      </w:r>
      <w:r>
        <w:t xml:space="preserve">application, the audience is the FQDN registered in the app’s Entra</w:t>
      </w:r>
      <w:r>
        <w:t xml:space="preserve"> </w:t>
      </w:r>
      <w:r>
        <w:t xml:space="preserve">registration — e.g.,</w:t>
      </w:r>
      <w:r>
        <w:t xml:space="preserve"> </w:t>
      </w:r>
      <w:r>
        <w:rPr>
          <w:rStyle w:val="VerbatimChar"/>
        </w:rPr>
        <w:t xml:space="preserve">api.agency.gov</w:t>
      </w:r>
      <w:r>
        <w:t xml:space="preserve">. The service validates that the token</w:t>
      </w:r>
      <w:r>
        <w:t xml:space="preserve"> </w:t>
      </w:r>
      <w:r>
        <w:t xml:space="preserve">audience matches its own registered identifier. If the service’s FQDN has</w:t>
      </w:r>
      <w:r>
        <w:t xml:space="preserve"> </w:t>
      </w:r>
      <w:r>
        <w:t xml:space="preserve">been changed (DNS rename, namespace migration) but the token audience claim</w:t>
      </w:r>
      <w:r>
        <w:t xml:space="preserve"> </w:t>
      </w:r>
      <w:r>
        <w:t xml:space="preserve">has not, validation fails.</w:t>
      </w:r>
    </w:p>
    <w:p>
      <w:pPr>
        <w:pStyle w:val="BodyText"/>
      </w:pPr>
      <w:r>
        <w:rPr>
          <w:b/>
          <w:bCs/>
        </w:rPr>
        <w:t xml:space="preserve">Certificate Subject Alternative Names.</w:t>
      </w:r>
      <w:r>
        <w:t xml:space="preserve"> </w:t>
      </w:r>
      <w:r>
        <w:t xml:space="preserve">Modern applications use TLS</w:t>
      </w:r>
      <w:r>
        <w:t xml:space="preserve"> </w:t>
      </w:r>
      <w:r>
        <w:t xml:space="preserve">everywhere. Every TLS certificate is issued for specific FQDNs, listed as</w:t>
      </w:r>
      <w:r>
        <w:t xml:space="preserve"> </w:t>
      </w:r>
      <w:r>
        <w:t xml:space="preserve">Subject Alternative Names (SANs). A certificate issued for</w:t>
      </w:r>
      <w:r>
        <w:t xml:space="preserve"> </w:t>
      </w:r>
      <w:r>
        <w:rPr>
          <w:rStyle w:val="VerbatimChar"/>
        </w:rPr>
        <w:t xml:space="preserve">api.agency.gov</w:t>
      </w:r>
      <w:r>
        <w:t xml:space="preserve"> </w:t>
      </w:r>
      <w:r>
        <w:t xml:space="preserve">is valid only for that FQDN and any wildcards explicitly included</w:t>
      </w:r>
      <w:r>
        <w:t xml:space="preserve"> </w:t>
      </w:r>
      <w:r>
        <w:t xml:space="preserve">(e.g.,</w:t>
      </w:r>
      <w:r>
        <w:t xml:space="preserve"> </w:t>
      </w:r>
      <w:r>
        <w:rPr>
          <w:rStyle w:val="VerbatimChar"/>
        </w:rPr>
        <w:t xml:space="preserve">*.api.agency.gov</w:t>
      </w:r>
      <w:r>
        <w:t xml:space="preserve">). If DNS resolves</w:t>
      </w:r>
      <w:r>
        <w:t xml:space="preserve"> </w:t>
      </w:r>
      <w:r>
        <w:rPr>
          <w:rStyle w:val="VerbatimChar"/>
        </w:rPr>
        <w:t xml:space="preserve">api.agency.gov</w:t>
      </w:r>
      <w:r>
        <w:t xml:space="preserve"> </w:t>
      </w:r>
      <w:r>
        <w:t xml:space="preserve">to the correct</w:t>
      </w:r>
      <w:r>
        <w:t xml:space="preserve"> </w:t>
      </w:r>
      <w:r>
        <w:t xml:space="preserve">server but the server presents a certificate that does not include that FQDN</w:t>
      </w:r>
      <w:r>
        <w:t xml:space="preserve"> </w:t>
      </w:r>
      <w:r>
        <w:t xml:space="preserve">as a SAN, the TLS handshake fails.</w:t>
      </w:r>
    </w:p>
    <w:p>
      <w:pPr>
        <w:pStyle w:val="BodyText"/>
      </w:pPr>
      <w:r>
        <w:rPr>
          <w:b/>
          <w:bCs/>
        </w:rPr>
        <w:t xml:space="preserve">OCSP and CRL endpoints.</w:t>
      </w:r>
      <w:r>
        <w:t xml:space="preserve"> </w:t>
      </w:r>
      <w:r>
        <w:t xml:space="preserve">Certificate validity is checked against OCSP</w:t>
      </w:r>
      <w:r>
        <w:t xml:space="preserve"> </w:t>
      </w:r>
      <w:r>
        <w:t xml:space="preserve">responders and CRL distribution points embedded in the certificate. Both are</w:t>
      </w:r>
      <w:r>
        <w:t xml:space="preserve"> </w:t>
      </w:r>
      <w:r>
        <w:t xml:space="preserve">DNS names. If the OCSP responder’s FQDN does not resolve — or resolves to</w:t>
      </w:r>
      <w:r>
        <w:t xml:space="preserve"> </w:t>
      </w:r>
      <w:r>
        <w:t xml:space="preserve">the wrong IP, or resolves differently from different network locations —</w:t>
      </w:r>
      <w:r>
        <w:t xml:space="preserve"> </w:t>
      </w:r>
      <w:r>
        <w:t xml:space="preserve">certificate validation fails or falls back to a degraded mode.</w:t>
      </w:r>
    </w:p>
    <w:bookmarkEnd w:id="44"/>
    <w:bookmarkStart w:id="45" w:name="the-certificate-split-brain-problem"/>
    <w:p>
      <w:pPr>
        <w:pStyle w:val="Heading3"/>
      </w:pPr>
      <w:r>
        <w:t xml:space="preserve">5.3 The certificate split-brain problem</w:t>
      </w:r>
    </w:p>
    <w:p>
      <w:pPr>
        <w:pStyle w:val="FirstParagraph"/>
      </w:pPr>
      <w:r>
        <w:t xml:space="preserve">The certificate-DNS intersection produces a specific form of split-brain that</w:t>
      </w:r>
      <w:r>
        <w:t xml:space="preserve"> </w:t>
      </w:r>
      <w:r>
        <w:t xml:space="preserve">is more difficult to diagnose than the private IP form because it manifests</w:t>
      </w:r>
      <w:r>
        <w:t xml:space="preserve"> </w:t>
      </w:r>
      <w:r>
        <w:t xml:space="preserve">as a certificate error, not a DNS error.</w:t>
      </w:r>
    </w:p>
    <w:p>
      <w:pPr>
        <w:pStyle w:val="BodyText"/>
      </w:pPr>
      <w:r>
        <w:t xml:space="preserve">Consider a federal agency that has deployed a service at</w:t>
      </w:r>
      <w:r>
        <w:t xml:space="preserve"> </w:t>
      </w:r>
      <w:r>
        <w:rPr>
          <w:rStyle w:val="VerbatimChar"/>
        </w:rPr>
        <w:t xml:space="preserve">payments.agency.gov</w:t>
      </w:r>
      <w:r>
        <w:t xml:space="preserve">.</w:t>
      </w:r>
      <w:r>
        <w:t xml:space="preserve"> </w:t>
      </w:r>
      <w:r>
        <w:t xml:space="preserve">The service has a TLS certificate with</w:t>
      </w:r>
      <w:r>
        <w:t xml:space="preserve"> </w:t>
      </w:r>
      <w:r>
        <w:rPr>
          <w:rStyle w:val="VerbatimChar"/>
        </w:rPr>
        <w:t xml:space="preserve">payments.agency.gov</w:t>
      </w:r>
      <w:r>
        <w:t xml:space="preserve"> </w:t>
      </w:r>
      <w:r>
        <w:t xml:space="preserve">as a SAN, issued</w:t>
      </w:r>
      <w:r>
        <w:t xml:space="preserve"> </w:t>
      </w:r>
      <w:r>
        <w:t xml:space="preserve">by the agency’s PKI. The OCSP responder for that PKI is at</w:t>
      </w:r>
      <w:r>
        <w:t xml:space="preserve"> </w:t>
      </w:r>
      <w:r>
        <w:rPr>
          <w:rStyle w:val="VerbatimChar"/>
        </w:rPr>
        <w:t xml:space="preserve">ocsp.pki.agency.gov</w:t>
      </w:r>
      <w:r>
        <w:t xml:space="preserve">.</w:t>
      </w:r>
    </w:p>
    <w:p>
      <w:pPr>
        <w:pStyle w:val="BodyText"/>
      </w:pPr>
      <w:r>
        <w:t xml:space="preserve">In the hybrid multi-cloud model,</w:t>
      </w:r>
      <w:r>
        <w:t xml:space="preserve"> </w:t>
      </w:r>
      <w:r>
        <w:rPr>
          <w:rStyle w:val="VerbatimChar"/>
        </w:rPr>
        <w:t xml:space="preserve">payments.agency.gov</w:t>
      </w:r>
      <w:r>
        <w:t xml:space="preserve"> </w:t>
      </w:r>
      <w:r>
        <w:t xml:space="preserve">is a private zone</w:t>
      </w:r>
      <w:r>
        <w:t xml:space="preserve"> </w:t>
      </w:r>
      <w:r>
        <w:t xml:space="preserve">record — it resolves to an RFC 1918 address from inside the network, and</w:t>
      </w:r>
      <w:r>
        <w:t xml:space="preserve"> </w:t>
      </w:r>
      <w:r>
        <w:t xml:space="preserve">either does not resolve or resolves to a public IP from outside. The OCSP</w:t>
      </w:r>
      <w:r>
        <w:t xml:space="preserve"> </w:t>
      </w:r>
      <w:r>
        <w:t xml:space="preserve">responder at</w:t>
      </w:r>
      <w:r>
        <w:t xml:space="preserve"> </w:t>
      </w:r>
      <w:r>
        <w:rPr>
          <w:rStyle w:val="VerbatimChar"/>
        </w:rPr>
        <w:t xml:space="preserve">ocsp.pki.agency.gov</w:t>
      </w:r>
      <w:r>
        <w:t xml:space="preserve"> </w:t>
      </w:r>
      <w:r>
        <w:t xml:space="preserve">must be reachable from any network</w:t>
      </w:r>
      <w:r>
        <w:t xml:space="preserve"> </w:t>
      </w:r>
      <w:r>
        <w:t xml:space="preserve">location that is validating the certificate — including cloud workloads</w:t>
      </w:r>
      <w:r>
        <w:t xml:space="preserve"> </w:t>
      </w:r>
      <w:r>
        <w:t xml:space="preserve">in AWS and Azure that might call the service.</w:t>
      </w:r>
    </w:p>
    <w:p>
      <w:pPr>
        <w:pStyle w:val="BodyText"/>
      </w:pPr>
      <w:r>
        <w:t xml:space="preserve">If</w:t>
      </w:r>
      <w:r>
        <w:t xml:space="preserve"> </w:t>
      </w:r>
      <w:r>
        <w:rPr>
          <w:rStyle w:val="VerbatimChar"/>
        </w:rPr>
        <w:t xml:space="preserve">ocsp.pki.agency.gov</w:t>
      </w:r>
      <w:r>
        <w:t xml:space="preserve"> </w:t>
      </w:r>
      <w:r>
        <w:t xml:space="preserve">is a private-only record in AD DNS, it does not</w:t>
      </w:r>
      <w:r>
        <w:t xml:space="preserve"> </w:t>
      </w:r>
      <w:r>
        <w:t xml:space="preserve">resolve from AWS EC2 instances unless the Route 53 outbound resolver has a</w:t>
      </w:r>
      <w:r>
        <w:t xml:space="preserve"> </w:t>
      </w:r>
      <w:r>
        <w:t xml:space="preserve">forwarding rule for</w:t>
      </w:r>
      <w:r>
        <w:t xml:space="preserve"> </w:t>
      </w:r>
      <w:r>
        <w:rPr>
          <w:rStyle w:val="VerbatimChar"/>
        </w:rPr>
        <w:t xml:space="preserve">pki.agency.gov</w:t>
      </w:r>
      <w:r>
        <w:t xml:space="preserve">. If that forwarding rule is absent,</w:t>
      </w:r>
      <w:r>
        <w:t xml:space="preserve"> </w:t>
      </w:r>
      <w:r>
        <w:t xml:space="preserve">the EC2 instance cannot reach the OCSP responder, certificate validation</w:t>
      </w:r>
      <w:r>
        <w:t xml:space="preserve"> </w:t>
      </w:r>
      <w:r>
        <w:t xml:space="preserve">fails with an</w:t>
      </w:r>
      <w:r>
        <w:t xml:space="preserve"> </w:t>
      </w:r>
      <w:r>
        <w:rPr>
          <w:rStyle w:val="VerbatimChar"/>
        </w:rPr>
        <w:t xml:space="preserve">OCSP unreachable</w:t>
      </w:r>
      <w:r>
        <w:t xml:space="preserve"> </w:t>
      </w:r>
      <w:r>
        <w:t xml:space="preserve">error, and the TLS handshake either</w:t>
      </w:r>
      <w:r>
        <w:t xml:space="preserve"> </w:t>
      </w:r>
      <w:r>
        <w:t xml:space="preserve">fails (if the client enforces OCSP) or succeeds with a revocation warning</w:t>
      </w:r>
      <w:r>
        <w:t xml:space="preserve"> </w:t>
      </w:r>
      <w:r>
        <w:t xml:space="preserve">(if the client is configured to soft-fail on OCSP unreachability).</w:t>
      </w:r>
    </w:p>
    <w:p>
      <w:pPr>
        <w:pStyle w:val="BodyText"/>
      </w:pPr>
      <w:r>
        <w:t xml:space="preserve">This failure is invisible in the DNS logs because the DNS query fails at the</w:t>
      </w:r>
      <w:r>
        <w:t xml:space="preserve"> </w:t>
      </w:r>
      <w:r>
        <w:t xml:space="preserve">forwarder level — no response is returned — and the client interprets the</w:t>
      </w:r>
      <w:r>
        <w:t xml:space="preserve"> </w:t>
      </w:r>
      <w:r>
        <w:t xml:space="preserve">failure as an OCSP unreachability event, not as a DNS failure. The incident</w:t>
      </w:r>
      <w:r>
        <w:t xml:space="preserve"> </w:t>
      </w:r>
      <w:r>
        <w:t xml:space="preserve">ticket is opened against PKI, not against DNS. The root cause — an absent</w:t>
      </w:r>
      <w:r>
        <w:t xml:space="preserve"> </w:t>
      </w:r>
      <w:r>
        <w:t xml:space="preserve">forwarding rule in Route 53 — may not be discovered for days.</w:t>
      </w:r>
    </w:p>
    <w:bookmarkEnd w:id="45"/>
    <w:bookmarkStart w:id="46" w:name="X655c4164af4a96cd42e19e5d9f79fdc373f07e4"/>
    <w:p>
      <w:pPr>
        <w:pStyle w:val="Heading3"/>
      </w:pPr>
      <w:r>
        <w:t xml:space="preserve">5.4 The implication: DNS correctness is a PKI trust prerequisite</w:t>
      </w:r>
    </w:p>
    <w:p>
      <w:pPr>
        <w:pStyle w:val="FirstParagraph"/>
      </w:pPr>
      <w:r>
        <w:t xml:space="preserve">The logical conclusion is that PKI trust in a hybrid multi-cloud environment</w:t>
      </w:r>
      <w:r>
        <w:t xml:space="preserve"> </w:t>
      </w:r>
      <w:r>
        <w:t xml:space="preserve">is a dependent of DNS correctness. A certificate that is issued correctly,</w:t>
      </w:r>
      <w:r>
        <w:t xml:space="preserve"> </w:t>
      </w:r>
      <w:r>
        <w:t xml:space="preserve">by a trusted CA, for the right FQDN, and has not been revoked, can still</w:t>
      </w:r>
      <w:r>
        <w:t xml:space="preserve"> </w:t>
      </w:r>
      <w:r>
        <w:t xml:space="preserve">fail to be trusted if the DNS fabric that supports its validation chain has</w:t>
      </w:r>
      <w:r>
        <w:t xml:space="preserve"> </w:t>
      </w:r>
      <w:r>
        <w:t xml:space="preserve">split-brain conditions.</w:t>
      </w:r>
    </w:p>
    <w:p>
      <w:pPr>
        <w:pStyle w:val="BodyText"/>
      </w:pPr>
      <w:r>
        <w:t xml:space="preserve">This means that the security case for unified DNS governance is not only about</w:t>
      </w:r>
      <w:r>
        <w:t xml:space="preserve"> </w:t>
      </w:r>
      <w:r>
        <w:t xml:space="preserve">network path correctness (Part 2) and threat enforcement (Part 3). It is also</w:t>
      </w:r>
      <w:r>
        <w:t xml:space="preserve"> </w:t>
      </w:r>
      <w:r>
        <w:t xml:space="preserve">about PKI integrity. An agency cannot claim to have a functioning PKI trust</w:t>
      </w:r>
      <w:r>
        <w:t xml:space="preserve"> </w:t>
      </w:r>
      <w:r>
        <w:t xml:space="preserve">chain in a hybrid multi-cloud environment unless DNS resolution is consistent</w:t>
      </w:r>
      <w:r>
        <w:t xml:space="preserve"> </w:t>
      </w:r>
      <w:r>
        <w:t xml:space="preserve">from every network location — on-premises, in every CSP, and at every branch.</w:t>
      </w:r>
    </w:p>
    <w:bookmarkEnd w:id="46"/>
    <w:bookmarkStart w:id="47" w:name="X107a3e72b286616bc2b86735bb1dd0b5899f4dc"/>
    <w:p>
      <w:pPr>
        <w:pStyle w:val="Heading3"/>
      </w:pPr>
      <w:r>
        <w:t xml:space="preserve">5.5 Geographic certificate scoping and the DNS namespace</w:t>
      </w:r>
    </w:p>
    <w:p>
      <w:pPr>
        <w:pStyle w:val="FirstParagraph"/>
      </w:pPr>
      <w:r>
        <w:t xml:space="preserve">A related challenge emerges when agencies deploy applications across geographically distributed regions and need to scope certificate trust to specific geographic boundaries — for data residency, sovereignty compliance, or risk containment purposes.</w:t>
      </w:r>
    </w:p>
    <w:p>
      <w:pPr>
        <w:pStyle w:val="BodyText"/>
      </w:pPr>
      <w:r>
        <w:rPr>
          <w:b/>
          <w:bCs/>
        </w:rPr>
        <w:t xml:space="preserve">The question of mid-label wildcards.</w:t>
      </w:r>
      <w:r>
        <w:t xml:space="preserve"> </w:t>
      </w:r>
      <w:r>
        <w:t xml:space="preserve">It is natural to ask whether a certificate for</w:t>
      </w:r>
      <w:r>
        <w:t xml:space="preserve"> </w:t>
      </w:r>
      <w:r>
        <w:rPr>
          <w:rStyle w:val="VerbatimChar"/>
        </w:rPr>
        <w:t xml:space="preserve">application.*.agency.gov</w:t>
      </w:r>
      <w:r>
        <w:t xml:space="preserve"> </w:t>
      </w:r>
      <w:r>
        <w:t xml:space="preserve">could serve this purpose, allowing the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to match region names (</w:t>
      </w:r>
      <w:r>
        <w:rPr>
          <w:rStyle w:val="VerbatimChar"/>
        </w:rPr>
        <w:t xml:space="preserve">eastus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westus</w:t>
      </w:r>
      <w:r>
        <w:t xml:space="preserve">, etc.). The answer is: this was technically ambiguous for a brief historical window, is now formally prohibited for all public certificates, and does not work on any modern TLS client.</w:t>
      </w:r>
    </w:p>
    <w:p>
      <w:pPr>
        <w:pStyle w:val="BodyText"/>
      </w:pPr>
      <w:r>
        <w:t xml:space="preserve">The history in brief: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RFC 2818 (2000)</w:t>
      </w:r>
      <w:r>
        <w:t xml:space="preserve"> </w:t>
      </w:r>
      <w:r>
        <w:t xml:space="preserve">— the original HTTPS specification described wildcard matching as applying to</w:t>
      </w:r>
      <w:r>
        <w:t xml:space="preserve"> </w:t>
      </w:r>
      <w:r>
        <w:t xml:space="preserve">“component fragments,”</w:t>
      </w:r>
      <w:r>
        <w:t xml:space="preserve"> </w:t>
      </w:r>
      <w:r>
        <w:t xml:space="preserve">language ambiguous enough that some implementations allowed mid-label matching (</w:t>
      </w:r>
      <w:r>
        <w:rPr>
          <w:rStyle w:val="VerbatimChar"/>
        </w:rPr>
        <w:t xml:space="preserve">application.*.agency.gov</w:t>
      </w:r>
      <w:r>
        <w:t xml:space="preserve"> </w:t>
      </w:r>
      <w:r>
        <w:t xml:space="preserve">matching</w:t>
      </w:r>
      <w:r>
        <w:t xml:space="preserve"> </w:t>
      </w:r>
      <w:r>
        <w:rPr>
          <w:rStyle w:val="VerbatimChar"/>
        </w:rPr>
        <w:t xml:space="preserve">application.eastus.agency.gov</w:t>
      </w:r>
      <w:r>
        <w:t xml:space="preserve">)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RFC 6125 (2011)</w:t>
      </w:r>
      <w:r>
        <w:t xml:space="preserve"> </w:t>
      </w:r>
      <w:r>
        <w:t xml:space="preserve">— clarified that wildcards SHOULD apply only in the leftmost label; mid-label matching SHOULD NOT be supported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CA/Browser Forum Baseline Requirements (2012)</w:t>
      </w:r>
      <w:r>
        <w:t xml:space="preserve"> </w:t>
      </w:r>
      <w:r>
        <w:t xml:space="preserve">— prohibited public CAs from issuing certificates containing mid-label wildcards; any such certificate is non-compliant and browsers reject it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RFC 9525 (2023)</w:t>
      </w:r>
      <w:r>
        <w:t xml:space="preserve"> </w:t>
      </w:r>
      <w:r>
        <w:t xml:space="preserve">— codified MUST NOT; mid-label wildcards are now formally prohibited in all conformant TLS implementations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Current client behavior</w:t>
      </w:r>
      <w:r>
        <w:t xml:space="preserve"> </w:t>
      </w:r>
      <w:r>
        <w:t xml:space="preserve">— OpenSSL, BoringSSL (Chrome/Android), NSS (Firefox), SChannel (Windows/Edge) all reject mid-label wildcards at validation time;</w:t>
      </w:r>
      <w:r>
        <w:t xml:space="preserve"> </w:t>
      </w:r>
      <w:r>
        <w:rPr>
          <w:rStyle w:val="VerbatimChar"/>
        </w:rPr>
        <w:t xml:space="preserve">application.*.agency.gov</w:t>
      </w:r>
      <w:r>
        <w:t xml:space="preserve"> </w:t>
      </w:r>
      <w:r>
        <w:t xml:space="preserve">will fail TLS handshake on every modern client</w:t>
      </w:r>
    </w:p>
    <w:p>
      <w:pPr>
        <w:pStyle w:val="BodyText"/>
      </w:pPr>
      <w:r>
        <w:rPr>
          <w:b/>
          <w:bCs/>
        </w:rPr>
        <w:t xml:space="preserve">How geographic scoping is actually done.</w:t>
      </w:r>
      <w:r>
        <w:t xml:space="preserve"> </w:t>
      </w:r>
      <w:r>
        <w:t xml:space="preserve">The correct pattern uses the DNS namespace structure and leftmost-position wildcards:</w:t>
      </w:r>
    </w:p>
    <w:p>
      <w:pPr>
        <w:pStyle w:val="BodyText"/>
      </w:pPr>
      <w:r>
        <w:rPr>
          <w:i/>
          <w:iCs/>
        </w:rPr>
        <w:t xml:space="preserve">DNS layer:</w:t>
      </w:r>
      <w:r>
        <w:t xml:space="preserve"> </w:t>
      </w:r>
      <w:r>
        <w:t xml:space="preserve">Publish per-region specific A records for application instances (</w:t>
      </w:r>
      <w:r>
        <w:rPr>
          <w:rStyle w:val="VerbatimChar"/>
        </w:rPr>
        <w:t xml:space="preserve">app.eastus.agency.gov</w:t>
      </w:r>
      <w:r>
        <w:t xml:space="preserve">,</w:t>
      </w:r>
      <w:r>
        <w:t xml:space="preserve"> </w:t>
      </w:r>
      <w:r>
        <w:rPr>
          <w:rStyle w:val="VerbatimChar"/>
        </w:rPr>
        <w:t xml:space="preserve">app.westus.agency.gov</w:t>
      </w:r>
      <w:r>
        <w:t xml:space="preserve">), and optionally leftmost-position wildcard records for region namespaces (</w:t>
      </w:r>
      <w:r>
        <w:rPr>
          <w:rStyle w:val="VerbatimChar"/>
        </w:rPr>
        <w:t xml:space="preserve">*.eastus.agency.gov</w:t>
      </w:r>
      <w:r>
        <w:t xml:space="preserve">,</w:t>
      </w:r>
      <w:r>
        <w:t xml:space="preserve"> </w:t>
      </w:r>
      <w:r>
        <w:rPr>
          <w:rStyle w:val="VerbatimChar"/>
        </w:rPr>
        <w:t xml:space="preserve">*.westus.agency.gov</w:t>
      </w:r>
      <w:r>
        <w:t xml:space="preserve">). These are DNS wildcards conforming to RFC 1034 — the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is in the leftmost label position.</w:t>
      </w:r>
    </w:p>
    <w:p>
      <w:pPr>
        <w:pStyle w:val="BodyText"/>
      </w:pPr>
      <w:r>
        <w:rPr>
          <w:i/>
          <w:iCs/>
        </w:rPr>
        <w:t xml:space="preserve">Certificate layer:</w:t>
      </w:r>
      <w:r>
        <w:t xml:space="preserve"> </w:t>
      </w:r>
      <w:r>
        <w:t xml:space="preserve">Use multi-SAN wildcard certificates, with one SAN per region:</w:t>
      </w:r>
      <w:r>
        <w:t xml:space="preserve"> </w:t>
      </w:r>
      <w:r>
        <w:rPr>
          <w:rStyle w:val="VerbatimChar"/>
        </w:rPr>
        <w:t xml:space="preserve">*.eastus.agency.gov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*.westus.agency.gov</w:t>
      </w:r>
      <w:r>
        <w:t xml:space="preserve"> </w:t>
      </w:r>
      <w:r>
        <w:t xml:space="preserve">as separate Subject Alternative Names in a single certificate. This is current practice, widely deployed, and fully supported. The blast radius is wider than a per-region certificate — a compromised private key exposes all regions covered by the SANs — which is the principal operational trade-off.</w:t>
      </w:r>
    </w:p>
    <w:p>
      <w:pPr>
        <w:pStyle w:val="BodyText"/>
      </w:pPr>
      <w:r>
        <w:rPr>
          <w:i/>
          <w:iCs/>
        </w:rPr>
        <w:t xml:space="preserve">Trust boundary layer:</w:t>
      </w:r>
      <w:r>
        <w:t xml:space="preserve"> </w:t>
      </w:r>
      <w:r>
        <w:t xml:space="preserve">The strongest geographic scoping mechanism is Name Constraints on intermediate CA certificates. An agency that operates a subordinate CA for each geographic region can issue certificates from</w:t>
      </w:r>
      <w:r>
        <w:t xml:space="preserve"> </w:t>
      </w:r>
      <w:r>
        <w:rPr>
          <w:rStyle w:val="VerbatimChar"/>
        </w:rPr>
        <w:t xml:space="preserve">Agency-EastUS-Intermediate</w:t>
      </w:r>
      <w:r>
        <w:t xml:space="preserve"> </w:t>
      </w:r>
      <w:r>
        <w:t xml:space="preserve">with a Name Constraints extension</w:t>
      </w:r>
      <w:r>
        <w:t xml:space="preserve"> </w:t>
      </w:r>
      <w:r>
        <w:rPr>
          <w:rStyle w:val="VerbatimChar"/>
        </w:rPr>
        <w:t xml:space="preserve">permitted: eastus.agency.gov</w:t>
      </w:r>
      <w:r>
        <w:t xml:space="preserve">. Any certificate issued by that intermediate CA is cryptographically constrained to names within the permitted subtree — a browser or TLS client will reject a certificate from</w:t>
      </w:r>
      <w:r>
        <w:t xml:space="preserve"> </w:t>
      </w:r>
      <w:r>
        <w:rPr>
          <w:rStyle w:val="VerbatimChar"/>
        </w:rPr>
        <w:t xml:space="preserve">Agency-EastUS-Intermediate</w:t>
      </w:r>
      <w:r>
        <w:t xml:space="preserve"> </w:t>
      </w:r>
      <w:r>
        <w:t xml:space="preserve">that claims to cover</w:t>
      </w:r>
      <w:r>
        <w:t xml:space="preserve"> </w:t>
      </w:r>
      <w:r>
        <w:rPr>
          <w:rStyle w:val="VerbatimChar"/>
        </w:rPr>
        <w:t xml:space="preserve">westus.agency.gov</w:t>
      </w:r>
      <w:r>
        <w:t xml:space="preserve">, even if the certificate itself is otherwise valid. This is the only mechanism that provides cryptographic (rather than procedural) geographic enforcement.</w:t>
      </w:r>
    </w:p>
    <w:p>
      <w:pPr>
        <w:pStyle w:val="BodyText"/>
      </w:pPr>
      <w:r>
        <w:rPr>
          <w:b/>
          <w:bCs/>
        </w:rPr>
        <w:t xml:space="preserve">The three-layer geographic trust architecture: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Layer</w:t>
            </w:r>
          </w:p>
        </w:tc>
        <w:tc>
          <w:tcPr/>
          <w:p>
            <w:pPr>
              <w:pStyle w:val="Compact"/>
            </w:pPr>
            <w:r>
              <w:t xml:space="preserve">Mechanism</w:t>
            </w:r>
          </w:p>
        </w:tc>
        <w:tc>
          <w:tcPr/>
          <w:p>
            <w:pPr>
              <w:pStyle w:val="Compact"/>
            </w:pPr>
            <w:r>
              <w:t xml:space="preserve">Enforcement</w:t>
            </w:r>
          </w:p>
        </w:tc>
        <w:tc>
          <w:tcPr/>
          <w:p>
            <w:pPr>
              <w:pStyle w:val="Compact"/>
            </w:pPr>
            <w:r>
              <w:t xml:space="preserve">Split-Brain Risk</w:t>
            </w:r>
          </w:p>
        </w:tc>
      </w:tr>
      <w:tr>
        <w:tc>
          <w:tcPr/>
          <w:p>
            <w:pPr>
              <w:pStyle w:val="Compact"/>
            </w:pPr>
            <w:r>
              <w:t xml:space="preserve">DNS namespace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*.eastus.agency.gov</w:t>
            </w:r>
            <w:r>
              <w:t xml:space="preserve"> </w:t>
            </w:r>
            <w:r>
              <w:t xml:space="preserve">zone</w:t>
            </w:r>
          </w:p>
        </w:tc>
        <w:tc>
          <w:tcPr/>
          <w:p>
            <w:pPr>
              <w:pStyle w:val="Compact"/>
            </w:pPr>
            <w:r>
              <w:t xml:space="preserve">DNS resolution</w:t>
            </w:r>
          </w:p>
        </w:tc>
        <w:tc>
          <w:tcPr/>
          <w:p>
            <w:pPr>
              <w:pStyle w:val="Compact"/>
            </w:pPr>
            <w:r>
              <w:t xml:space="preserve">High — zone must be consistent on all surfaces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Certificate SANs</w:t>
            </w:r>
          </w:p>
        </w:tc>
        <w:tc>
          <w:tcPr/>
          <w:p>
            <w:pPr>
              <w:pStyle w:val="Compact"/>
            </w:pPr>
            <w:r>
              <w:t xml:space="preserve">Multi-SAN cert:</w:t>
            </w:r>
            <w:r>
              <w:t xml:space="preserve"> </w:t>
            </w:r>
            <w:r>
              <w:rPr>
                <w:rStyle w:val="VerbatimChar"/>
              </w:rPr>
              <w:t xml:space="preserve">*.eastus.agency.gov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*.westus.agency.gov</w:t>
            </w:r>
          </w:p>
        </w:tc>
        <w:tc>
          <w:tcPr/>
          <w:p>
            <w:pPr>
              <w:pStyle w:val="Compact"/>
            </w:pPr>
            <w:r>
              <w:t xml:space="preserve">TLS handshake SAN matching</w:t>
            </w:r>
          </w:p>
        </w:tc>
        <w:tc>
          <w:tcPr/>
          <w:p>
            <w:pPr>
              <w:pStyle w:val="Compact"/>
            </w:pPr>
            <w:r>
              <w:t xml:space="preserve">Medium — cert is issued once; DNS must resolve to correct region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Name Constraints</w:t>
            </w:r>
          </w:p>
        </w:tc>
        <w:tc>
          <w:tcPr/>
          <w:p>
            <w:pPr>
              <w:pStyle w:val="Compact"/>
            </w:pPr>
            <w:r>
              <w:t xml:space="preserve">Intermediate CA with</w:t>
            </w:r>
            <w:r>
              <w:t xml:space="preserve"> </w:t>
            </w:r>
            <w:r>
              <w:rPr>
                <w:rStyle w:val="VerbatimChar"/>
              </w:rPr>
              <w:t xml:space="preserve">permitted: eastus.agency.gov</w:t>
            </w:r>
          </w:p>
        </w:tc>
        <w:tc>
          <w:tcPr/>
          <w:p>
            <w:pPr>
              <w:pStyle w:val="Compact"/>
            </w:pPr>
            <w:r>
              <w:t xml:space="preserve">Cryptographic — client enforces</w:t>
            </w:r>
          </w:p>
        </w:tc>
        <w:tc>
          <w:tcPr/>
          <w:p>
            <w:pPr>
              <w:pStyle w:val="Compact"/>
            </w:pPr>
            <w:r>
              <w:t xml:space="preserve">Low — the constraint is in the cert, not DNS</w:t>
            </w:r>
          </w:p>
        </w:tc>
      </w:tr>
    </w:tbl>
    <w:p>
      <w:pPr>
        <w:pStyle w:val="BodyText"/>
      </w:pPr>
      <w:r>
        <w:t xml:space="preserve">The DNS layer is where split-brain re-enters this picture: even if the certificate is correctly scoped to</w:t>
      </w:r>
      <w:r>
        <w:t xml:space="preserve"> </w:t>
      </w:r>
      <w:r>
        <w:rPr>
          <w:rStyle w:val="VerbatimChar"/>
        </w:rPr>
        <w:t xml:space="preserve">eastus.agency.gov</w:t>
      </w:r>
      <w:r>
        <w:t xml:space="preserve">, a split-brain DNS condition that causes a client in Azure West US to receive the East US endpoint address means the client connects to the wrong region — the certificate validates (it covers the FQDN), but the data sovereignty boundary has been crossed silently. Correct geographic enforcement requires DNS consistency, not just correct certificate scoping.</w:t>
      </w:r>
    </w:p>
    <w:p>
      <w:r>
        <w:pict>
          <v:rect style="width:0;height:1.5pt" o:hralign="center" o:hrstd="t" o:hr="t"/>
        </w:pict>
      </w:r>
    </w:p>
    <w:bookmarkEnd w:id="47"/>
    <w:bookmarkEnd w:id="48"/>
    <w:bookmarkStart w:id="55" w:name="Xe80f34484c1b92fe095193bb0730d885141766b"/>
    <w:p>
      <w:pPr>
        <w:pStyle w:val="Heading2"/>
      </w:pPr>
      <w:r>
        <w:t xml:space="preserve">Part 6 — Layer 7 Networking and DNS as the Application Surface</w:t>
      </w:r>
    </w:p>
    <w:bookmarkStart w:id="49" w:name="X000e565064a86fc4d3870c7bc79147c6222d699"/>
    <w:p>
      <w:pPr>
        <w:pStyle w:val="Heading3"/>
      </w:pPr>
      <w:r>
        <w:t xml:space="preserve">6.1 Session networking versus application networking</w:t>
      </w:r>
    </w:p>
    <w:p>
      <w:pPr>
        <w:pStyle w:val="FirstParagraph"/>
      </w:pPr>
      <w:r>
        <w:t xml:space="preserve">For most of the internet’s history, network policy was written in terms of</w:t>
      </w:r>
      <w:r>
        <w:t xml:space="preserve"> </w:t>
      </w:r>
      <w:r>
        <w:t xml:space="preserve">Layer 4 constructs: IP addresses and ports. A firewall rule said</w:t>
      </w:r>
      <w:r>
        <w:t xml:space="preserve"> </w:t>
      </w:r>
      <w:r>
        <w:t xml:space="preserve">“allow</w:t>
      </w:r>
      <w:r>
        <w:t xml:space="preserve"> </w:t>
      </w:r>
      <w:r>
        <w:rPr>
          <w:rStyle w:val="VerbatimChar"/>
        </w:rPr>
        <w:t xml:space="preserve">10.0.0.5:443</w:t>
      </w:r>
      <w:r>
        <w:t xml:space="preserve"> </w:t>
      </w:r>
      <w:r>
        <w:t xml:space="preserve">to reach</w:t>
      </w:r>
      <w:r>
        <w:t xml:space="preserve"> </w:t>
      </w:r>
      <w:r>
        <w:rPr>
          <w:rStyle w:val="VerbatimChar"/>
        </w:rPr>
        <w:t xml:space="preserve">10.1.0.12:8443</w:t>
      </w:r>
      <w:r>
        <w:t xml:space="preserve">”</w:t>
      </w:r>
      <w:r>
        <w:t xml:space="preserve">. A load balancer forwarded</w:t>
      </w:r>
      <w:r>
        <w:t xml:space="preserve"> </w:t>
      </w:r>
      <w:r>
        <w:t xml:space="preserve">connections by destination IP and port. A VPN policy granted access to</w:t>
      </w:r>
      <w:r>
        <w:t xml:space="preserve"> </w:t>
      </w:r>
      <w:r>
        <w:t xml:space="preserve">a subnet (</w:t>
      </w:r>
      <w:r>
        <w:rPr>
          <w:rStyle w:val="VerbatimChar"/>
        </w:rPr>
        <w:t xml:space="preserve">10.2.0.0/24</w:t>
      </w:r>
      <w:r>
        <w:t xml:space="preserve">). The service identity was the IP address,</w:t>
      </w:r>
      <w:r>
        <w:t xml:space="preserve"> </w:t>
      </w:r>
      <w:r>
        <w:t xml:space="preserve">and IP addresses were relatively stable.</w:t>
      </w:r>
    </w:p>
    <w:p>
      <w:pPr>
        <w:pStyle w:val="BodyText"/>
      </w:pPr>
      <w:r>
        <w:t xml:space="preserve">This model works when the number of services is small, the service topology</w:t>
      </w:r>
      <w:r>
        <w:t xml:space="preserve"> </w:t>
      </w:r>
      <w:r>
        <w:t xml:space="preserve">is static, and the policy granularity of IP:port is sufficient. It breaks</w:t>
      </w:r>
      <w:r>
        <w:t xml:space="preserve"> </w:t>
      </w:r>
      <w:r>
        <w:t xml:space="preserve">down in the cloud-native and zero trust era for three reasons:</w:t>
      </w:r>
    </w:p>
    <w:p>
      <w:pPr>
        <w:pStyle w:val="BodyText"/>
      </w:pPr>
      <w:r>
        <w:t xml:space="preserve">First, IP addresses are ephemeral. Cloud workloads are created and destroyed</w:t>
      </w:r>
      <w:r>
        <w:t xml:space="preserve"> </w:t>
      </w:r>
      <w:r>
        <w:t xml:space="preserve">continuously. A Kubernetes pod runs on</w:t>
      </w:r>
      <w:r>
        <w:t xml:space="preserve"> </w:t>
      </w:r>
      <w:r>
        <w:rPr>
          <w:rStyle w:val="VerbatimChar"/>
        </w:rPr>
        <w:t xml:space="preserve">10.0.5.42</w:t>
      </w:r>
      <w:r>
        <w:t xml:space="preserve"> </w:t>
      </w:r>
      <w:r>
        <w:t xml:space="preserve">today and</w:t>
      </w:r>
      <w:r>
        <w:t xml:space="preserve"> </w:t>
      </w:r>
      <w:r>
        <w:rPr>
          <w:rStyle w:val="VerbatimChar"/>
        </w:rPr>
        <w:t xml:space="preserve">10.0.7.18</w:t>
      </w:r>
      <w:r>
        <w:t xml:space="preserve"> </w:t>
      </w:r>
      <w:r>
        <w:t xml:space="preserve">tomorrow. Writing firewall policy against IP addresses requires continuous</w:t>
      </w:r>
      <w:r>
        <w:t xml:space="preserve"> </w:t>
      </w:r>
      <w:r>
        <w:t xml:space="preserve">policy updates that cannot keep pace with infrastructure change.</w:t>
      </w:r>
    </w:p>
    <w:p>
      <w:pPr>
        <w:pStyle w:val="BodyText"/>
      </w:pPr>
      <w:r>
        <w:t xml:space="preserve">Second, IP addresses are insufficient policy identifiers. Two workloads on</w:t>
      </w:r>
      <w:r>
        <w:t xml:space="preserve"> </w:t>
      </w:r>
      <w:r>
        <w:t xml:space="preserve">the same IP address (different ports) may have entirely different security</w:t>
      </w:r>
      <w:r>
        <w:t xml:space="preserve"> </w:t>
      </w:r>
      <w:r>
        <w:t xml:space="preserve">postures. An IP-based policy that allows port 443 does not distinguish between</w:t>
      </w:r>
      <w:r>
        <w:t xml:space="preserve"> </w:t>
      </w:r>
      <w:r>
        <w:t xml:space="preserve">an agency’s API gateway and a compromised container that has been moved to the</w:t>
      </w:r>
      <w:r>
        <w:t xml:space="preserve"> </w:t>
      </w:r>
      <w:r>
        <w:t xml:space="preserve">same IP.</w:t>
      </w:r>
    </w:p>
    <w:p>
      <w:pPr>
        <w:pStyle w:val="BodyText"/>
      </w:pPr>
      <w:r>
        <w:t xml:space="preserve">Third, IP-based policy does not compose across cloud boundaries. The</w:t>
      </w:r>
      <w:r>
        <w:t xml:space="preserve"> </w:t>
      </w:r>
      <w:r>
        <w:rPr>
          <w:rStyle w:val="VerbatimChar"/>
        </w:rPr>
        <w:t xml:space="preserve">10.0.0.0/8</w:t>
      </w:r>
      <w:r>
        <w:t xml:space="preserve"> </w:t>
      </w:r>
      <w:r>
        <w:t xml:space="preserve">RFC 1918 space is used by every CSP and on-premises network simultaneously.</w:t>
      </w:r>
      <w:r>
        <w:t xml:space="preserve"> </w:t>
      </w:r>
      <w:r>
        <w:t xml:space="preserve">A policy written for</w:t>
      </w:r>
      <w:r>
        <w:t xml:space="preserve"> </w:t>
      </w:r>
      <w:r>
        <w:rPr>
          <w:rStyle w:val="VerbatimChar"/>
        </w:rPr>
        <w:t xml:space="preserve">10.1.0.0/16</w:t>
      </w:r>
      <w:r>
        <w:t xml:space="preserve"> </w:t>
      </w:r>
      <w:r>
        <w:t xml:space="preserve">in AWS is meaningless in Azure where</w:t>
      </w:r>
      <w:r>
        <w:t xml:space="preserve"> </w:t>
      </w:r>
      <w:r>
        <w:t xml:space="preserve">the same CIDR block is assigned to a different VNet.</w:t>
      </w:r>
    </w:p>
    <w:bookmarkEnd w:id="49"/>
    <w:bookmarkStart w:id="50" w:name="fqdn-as-the-stable-service-identity"/>
    <w:p>
      <w:pPr>
        <w:pStyle w:val="Heading3"/>
      </w:pPr>
      <w:r>
        <w:t xml:space="preserve">6.2 FQDN as the stable service identity</w:t>
      </w:r>
    </w:p>
    <w:p>
      <w:pPr>
        <w:pStyle w:val="FirstParagraph"/>
      </w:pPr>
      <w:r>
        <w:t xml:space="preserve">Application-layer networking resolves these problems by using the FQDN as</w:t>
      </w:r>
      <w:r>
        <w:t xml:space="preserve"> </w:t>
      </w:r>
      <w:r>
        <w:t xml:space="preserve">the stable service identity. A zero trust policy says</w:t>
      </w:r>
      <w:r>
        <w:t xml:space="preserve"> </w:t>
      </w:r>
      <w:r>
        <w:t xml:space="preserve">“allow</w:t>
      </w:r>
      <w:r>
        <w:t xml:space="preserve"> </w:t>
      </w:r>
      <w:r>
        <w:rPr>
          <w:rStyle w:val="VerbatimChar"/>
        </w:rPr>
        <w:t xml:space="preserve">payments-service</w:t>
      </w:r>
      <w:r>
        <w:t xml:space="preserve"> </w:t>
      </w:r>
      <w:r>
        <w:t xml:space="preserve">to call</w:t>
      </w:r>
      <w:r>
        <w:t xml:space="preserve"> </w:t>
      </w:r>
      <w:r>
        <w:rPr>
          <w:rStyle w:val="VerbatimChar"/>
        </w:rPr>
        <w:t xml:space="preserve">ledger-api.finance.agency.gov</w:t>
      </w:r>
      <w:r>
        <w:t xml:space="preserve"> </w:t>
      </w:r>
      <w:r>
        <w:t xml:space="preserve">on port 443”</w:t>
      </w:r>
      <w:r>
        <w:t xml:space="preserve"> </w:t>
      </w:r>
      <w:r>
        <w:t xml:space="preserve">— regardless of what IP</w:t>
      </w:r>
      <w:r>
        <w:t xml:space="preserve"> </w:t>
      </w:r>
      <w:r>
        <w:t xml:space="preserve">address</w:t>
      </w:r>
      <w:r>
        <w:t xml:space="preserve"> </w:t>
      </w:r>
      <w:r>
        <w:rPr>
          <w:rStyle w:val="VerbatimChar"/>
        </w:rPr>
        <w:t xml:space="preserve">ledger-api.finance.agency.gov</w:t>
      </w:r>
      <w:r>
        <w:t xml:space="preserve"> </w:t>
      </w:r>
      <w:r>
        <w:t xml:space="preserve">resolves to at any given moment.</w:t>
      </w:r>
      <w:r>
        <w:t xml:space="preserve"> </w:t>
      </w:r>
      <w:r>
        <w:t xml:space="preserve">A service mesh routes traffic to</w:t>
      </w:r>
      <w:r>
        <w:t xml:space="preserve"> </w:t>
      </w:r>
      <w:r>
        <w:rPr>
          <w:rStyle w:val="VerbatimChar"/>
        </w:rPr>
        <w:t xml:space="preserve">payments.internal</w:t>
      </w:r>
      <w:r>
        <w:t xml:space="preserve"> </w:t>
      </w:r>
      <w:r>
        <w:t xml:space="preserve">and manages the</w:t>
      </w:r>
      <w:r>
        <w:t xml:space="preserve"> </w:t>
      </w:r>
      <w:r>
        <w:t xml:space="preserve">load-balancing, retry, and circuit-breaking logic based on that FQDN, not</w:t>
      </w:r>
      <w:r>
        <w:t xml:space="preserve"> </w:t>
      </w:r>
      <w:r>
        <w:t xml:space="preserve">on individual pod IPs. An API gateway validates the</w:t>
      </w:r>
      <w:r>
        <w:t xml:space="preserve"> </w:t>
      </w:r>
      <w:r>
        <w:rPr>
          <w:rStyle w:val="VerbatimChar"/>
        </w:rPr>
        <w:t xml:space="preserve">Host:</w:t>
      </w:r>
      <w:r>
        <w:t xml:space="preserve"> </w:t>
      </w:r>
      <w:r>
        <w:t xml:space="preserve">header against</w:t>
      </w:r>
      <w:r>
        <w:t xml:space="preserve"> </w:t>
      </w:r>
      <w:r>
        <w:t xml:space="preserve">a registered FQDN list before routing the request.</w:t>
      </w:r>
    </w:p>
    <w:p>
      <w:pPr>
        <w:pStyle w:val="BodyText"/>
      </w:pPr>
      <w:r>
        <w:t xml:space="preserve">The FQDN is stable; the IP is not. Policy, audit logs, certificates, and</w:t>
      </w:r>
      <w:r>
        <w:t xml:space="preserve"> </w:t>
      </w:r>
      <w:r>
        <w:t xml:space="preserve">access controls all reference the FQDN. The IP is a runtime detail that DNS</w:t>
      </w:r>
      <w:r>
        <w:t xml:space="preserve"> </w:t>
      </w:r>
      <w:r>
        <w:t xml:space="preserve">resolves on demand.</w:t>
      </w:r>
    </w:p>
    <w:p>
      <w:pPr>
        <w:pStyle w:val="BodyText"/>
      </w:pPr>
      <w:r>
        <w:t xml:space="preserve">This architectural shift has a profound implication for DNS:</w:t>
      </w:r>
      <w:r>
        <w:t xml:space="preserve"> </w:t>
      </w:r>
      <w:r>
        <w:rPr>
          <w:b/>
          <w:bCs/>
        </w:rPr>
        <w:t xml:space="preserve">DNS is no</w:t>
      </w:r>
      <w:r>
        <w:rPr>
          <w:b/>
          <w:bCs/>
        </w:rPr>
        <w:t xml:space="preserve"> </w:t>
      </w:r>
      <w:r>
        <w:rPr>
          <w:b/>
          <w:bCs/>
        </w:rPr>
        <w:t xml:space="preserve">longer a name-lookup utility that supports networking. DNS is now the</w:t>
      </w:r>
      <w:r>
        <w:rPr>
          <w:b/>
          <w:bCs/>
        </w:rPr>
        <w:t xml:space="preserve"> </w:t>
      </w:r>
      <w:r>
        <w:rPr>
          <w:b/>
          <w:bCs/>
        </w:rPr>
        <w:t xml:space="preserve">registry of service identities.</w:t>
      </w:r>
      <w:r>
        <w:t xml:space="preserve"> </w:t>
      </w:r>
      <w:r>
        <w:t xml:space="preserve">The FQDN in DNS is the canonical reference</w:t>
      </w:r>
      <w:r>
        <w:t xml:space="preserve"> </w:t>
      </w:r>
      <w:r>
        <w:t xml:space="preserve">for a service. If DNS is inconsistent — if the same FQDN resolves differently</w:t>
      </w:r>
      <w:r>
        <w:t xml:space="preserve"> </w:t>
      </w:r>
      <w:r>
        <w:t xml:space="preserve">from different locations — then the service identity itself is inconsistent,</w:t>
      </w:r>
      <w:r>
        <w:t xml:space="preserve"> </w:t>
      </w:r>
      <w:r>
        <w:t xml:space="preserve">and policy, certificates, and access controls that reference that identity</w:t>
      </w:r>
      <w:r>
        <w:t xml:space="preserve"> </w:t>
      </w:r>
      <w:r>
        <w:t xml:space="preserve">may behave differently depending on where the caller is located.</w:t>
      </w:r>
    </w:p>
    <w:bookmarkEnd w:id="50"/>
    <w:bookmarkStart w:id="51" w:name="wildcard-dns-and-the-application-surface"/>
    <w:p>
      <w:pPr>
        <w:pStyle w:val="Heading3"/>
      </w:pPr>
      <w:r>
        <w:t xml:space="preserve">6.3 Wildcard DNS and the application surface</w:t>
      </w:r>
    </w:p>
    <w:p>
      <w:pPr>
        <w:pStyle w:val="FirstParagraph"/>
      </w:pPr>
      <w:r>
        <w:t xml:space="preserve">As agencies adopt application-layer networking, a new DNS pattern has emerged:</w:t>
      </w:r>
      <w:r>
        <w:t xml:space="preserve"> </w:t>
      </w:r>
      <w:r>
        <w:t xml:space="preserve">the wildcard subdomain as application surface definition.</w:t>
      </w:r>
    </w:p>
    <w:p>
      <w:pPr>
        <w:pStyle w:val="BodyText"/>
      </w:pPr>
      <w:r>
        <w:t xml:space="preserve">A wildcard DNS entry (</w:t>
      </w:r>
      <w:r>
        <w:rPr>
          <w:rStyle w:val="VerbatimChar"/>
        </w:rPr>
        <w:t xml:space="preserve">*.api.agency.gov</w:t>
      </w:r>
      <w:r>
        <w:t xml:space="preserve">) matches any subdomain of</w:t>
      </w:r>
      <w:r>
        <w:t xml:space="preserve"> </w:t>
      </w:r>
      <w:r>
        <w:rPr>
          <w:rStyle w:val="VerbatimChar"/>
        </w:rPr>
        <w:t xml:space="preserve">api.agency.gov</w:t>
      </w:r>
      <w:r>
        <w:t xml:space="preserve">.</w:t>
      </w:r>
      <w:r>
        <w:t xml:space="preserve"> </w:t>
      </w:r>
      <w:r>
        <w:t xml:space="preserve">This is not a new DNS feature — wildcards have been defined since RFC 1034 —</w:t>
      </w:r>
      <w:r>
        <w:t xml:space="preserve"> </w:t>
      </w:r>
      <w:r>
        <w:t xml:space="preserve">but their use has expanded dramatically in the application-layer networking era</w:t>
      </w:r>
      <w:r>
        <w:t xml:space="preserve"> </w:t>
      </w:r>
      <w:r>
        <w:t xml:space="preserve">because they are the natural mechanism for publishing namespaces of applications: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payments.api.agency.gov</w:t>
      </w:r>
      <w:r>
        <w:t xml:space="preserve"> </w:t>
      </w:r>
      <w:r>
        <w:t xml:space="preserve">— the payments API endpoint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grants.api.agency.gov</w:t>
      </w:r>
      <w:r>
        <w:t xml:space="preserve"> </w:t>
      </w:r>
      <w:r>
        <w:t xml:space="preserve">— the grants management API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identity.api.agency.gov</w:t>
      </w:r>
      <w:r>
        <w:t xml:space="preserve"> </w:t>
      </w:r>
      <w:r>
        <w:t xml:space="preserve">— the identity service API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documents.api.agency.gov</w:t>
      </w:r>
      <w:r>
        <w:t xml:space="preserve"> </w:t>
      </w:r>
      <w:r>
        <w:t xml:space="preserve">— the document management API</w:t>
      </w:r>
    </w:p>
    <w:p>
      <w:pPr>
        <w:pStyle w:val="FirstParagraph"/>
      </w:pPr>
      <w:r>
        <w:t xml:space="preserve">All of these can be published with a single wildcard entry pointing to an API</w:t>
      </w:r>
      <w:r>
        <w:t xml:space="preserve"> </w:t>
      </w:r>
      <w:r>
        <w:t xml:space="preserve">gateway’s IP address (or CNAME to a load balancer). The gateway inspects the</w:t>
      </w:r>
      <w:r>
        <w:t xml:space="preserve"> </w:t>
      </w:r>
      <w:r>
        <w:rPr>
          <w:rStyle w:val="VerbatimChar"/>
        </w:rPr>
        <w:t xml:space="preserve">Host:</w:t>
      </w:r>
      <w:r>
        <w:t xml:space="preserve"> </w:t>
      </w:r>
      <w:r>
        <w:t xml:space="preserve">header to route the request to the correct backend. From a DNS</w:t>
      </w:r>
      <w:r>
        <w:t xml:space="preserve"> </w:t>
      </w:r>
      <w:r>
        <w:t xml:space="preserve">perspective, the entire application surface is defined by one record.</w:t>
      </w:r>
    </w:p>
    <w:bookmarkEnd w:id="51"/>
    <w:bookmarkStart w:id="52" w:name="what-wildcard-dns-means-for-governance"/>
    <w:p>
      <w:pPr>
        <w:pStyle w:val="Heading3"/>
      </w:pPr>
      <w:r>
        <w:t xml:space="preserve">6.4 What wildcard DNS means for governance</w:t>
      </w:r>
    </w:p>
    <w:p>
      <w:pPr>
        <w:pStyle w:val="FirstParagraph"/>
      </w:pPr>
      <w:r>
        <w:t xml:space="preserve">The wildcard pattern amplifies the consequences of DNS misconfiguration. If</w:t>
      </w:r>
      <w:r>
        <w:t xml:space="preserve"> </w:t>
      </w:r>
      <w:r>
        <w:rPr>
          <w:rStyle w:val="VerbatimChar"/>
        </w:rPr>
        <w:t xml:space="preserve">*.api.agency.gov</w:t>
      </w:r>
      <w:r>
        <w:t xml:space="preserve"> </w:t>
      </w:r>
      <w:r>
        <w:t xml:space="preserve">is a wildcard that resolves to the API gateway, and that</w:t>
      </w:r>
      <w:r>
        <w:t xml:space="preserve"> </w:t>
      </w:r>
      <w:r>
        <w:t xml:space="preserve">wildcard record is inconsistent across the five DNS systems — correct in</w:t>
      </w:r>
      <w:r>
        <w:t xml:space="preserve"> </w:t>
      </w:r>
      <w:r>
        <w:t xml:space="preserve">NIOS but absent in Route 53, so cloud workloads in AWS cannot call any</w:t>
      </w:r>
      <w:r>
        <w:t xml:space="preserve"> </w:t>
      </w:r>
      <w:r>
        <w:rPr>
          <w:rStyle w:val="VerbatimChar"/>
        </w:rPr>
        <w:t xml:space="preserve">*.api.agency.gov</w:t>
      </w:r>
      <w:r>
        <w:t xml:space="preserve"> </w:t>
      </w:r>
      <w:r>
        <w:t xml:space="preserve">endpoint — the failure is not one broken service, it is</w:t>
      </w:r>
      <w:r>
        <w:t xml:space="preserve"> </w:t>
      </w:r>
      <w:r>
        <w:t xml:space="preserve">the entire application surface. Every API behind the gateway fails from</w:t>
      </w:r>
      <w:r>
        <w:t xml:space="preserve"> </w:t>
      </w:r>
      <w:r>
        <w:t xml:space="preserve">AWS-hosted callers simultaneously.</w:t>
      </w:r>
    </w:p>
    <w:p>
      <w:pPr>
        <w:pStyle w:val="BodyText"/>
      </w:pPr>
      <w:r>
        <w:t xml:space="preserve">The certificate consequence is equivalent. A wildcard certificate issued for</w:t>
      </w:r>
      <w:r>
        <w:t xml:space="preserve"> </w:t>
      </w:r>
      <w:r>
        <w:rPr>
          <w:rStyle w:val="VerbatimChar"/>
        </w:rPr>
        <w:t xml:space="preserve">*.api.agency.gov</w:t>
      </w:r>
      <w:r>
        <w:t xml:space="preserve"> </w:t>
      </w:r>
      <w:r>
        <w:t xml:space="preserve">is valid for every subdomain in that namespace. The PKI</w:t>
      </w:r>
      <w:r>
        <w:t xml:space="preserve"> </w:t>
      </w:r>
      <w:r>
        <w:t xml:space="preserve">team issues one certificate; the application team deploys dozens of services</w:t>
      </w:r>
      <w:r>
        <w:t xml:space="preserve"> </w:t>
      </w:r>
      <w:r>
        <w:t xml:space="preserve">under it. If DNS resolution of</w:t>
      </w:r>
      <w:r>
        <w:t xml:space="preserve"> </w:t>
      </w:r>
      <w:r>
        <w:rPr>
          <w:rStyle w:val="VerbatimChar"/>
        </w:rPr>
        <w:t xml:space="preserve">*.api.agency.gov</w:t>
      </w:r>
      <w:r>
        <w:t xml:space="preserve"> </w:t>
      </w:r>
      <w:r>
        <w:t xml:space="preserve">is split-brain, the</w:t>
      </w:r>
      <w:r>
        <w:t xml:space="preserve"> </w:t>
      </w:r>
      <w:r>
        <w:t xml:space="preserve">certificate is simultaneously valid (for callers whose DNS is correct) and</w:t>
      </w:r>
      <w:r>
        <w:t xml:space="preserve"> </w:t>
      </w:r>
      <w:r>
        <w:t xml:space="preserve">untrusted (for callers whose DNS is wrong) — a failure mode that cannot be</w:t>
      </w:r>
      <w:r>
        <w:t xml:space="preserve"> </w:t>
      </w:r>
      <w:r>
        <w:t xml:space="preserve">diagnosed by examining the certificate itself, only by examining DNS resolution.</w:t>
      </w:r>
    </w:p>
    <w:bookmarkEnd w:id="52"/>
    <w:bookmarkStart w:id="53" w:name="the-ipam-implication"/>
    <w:p>
      <w:pPr>
        <w:pStyle w:val="Heading3"/>
      </w:pPr>
      <w:r>
        <w:t xml:space="preserve">6.5 The IPAM implication</w:t>
      </w:r>
    </w:p>
    <w:p>
      <w:pPr>
        <w:pStyle w:val="FirstParagraph"/>
      </w:pPr>
      <w:r>
        <w:t xml:space="preserve">IP Address Management was historically the management of IP address assignments —</w:t>
      </w:r>
      <w:r>
        <w:t xml:space="preserve"> </w:t>
      </w:r>
      <w:r>
        <w:t xml:space="preserve">tracking which IP address was assigned to which device, ensuring no conflicts,</w:t>
      </w:r>
      <w:r>
        <w:t xml:space="preserve"> </w:t>
      </w:r>
      <w:r>
        <w:t xml:space="preserve">and automating DHCP configuration. In the Layer 4 era, IPAM and DNS were</w:t>
      </w:r>
      <w:r>
        <w:t xml:space="preserve"> </w:t>
      </w:r>
      <w:r>
        <w:t xml:space="preserve">tightly coupled: an IP assignment produced a DNS A record, and a DNS A record</w:t>
      </w:r>
      <w:r>
        <w:t xml:space="preserve"> </w:t>
      </w:r>
      <w:r>
        <w:t xml:space="preserve">implied an IP assignment.</w:t>
      </w:r>
    </w:p>
    <w:p>
      <w:pPr>
        <w:pStyle w:val="BodyText"/>
      </w:pPr>
      <w:r>
        <w:t xml:space="preserve">In the Layer 7 era, this coupling weakens in one direction and strengthens</w:t>
      </w:r>
      <w:r>
        <w:t xml:space="preserve"> </w:t>
      </w:r>
      <w:r>
        <w:t xml:space="preserve">in another. The IP address is less important as a policy identifier — an</w:t>
      </w:r>
      <w:r>
        <w:t xml:space="preserve"> </w:t>
      </w:r>
      <w:r>
        <w:t xml:space="preserve">application is identified by FQDN, not by IP. But DNS management becomes</w:t>
      </w:r>
      <w:r>
        <w:t xml:space="preserve"> </w:t>
      </w:r>
      <w:r>
        <w:t xml:space="preserve">more important because the FQDN namespace is the canonical application registry.</w:t>
      </w:r>
    </w:p>
    <w:p>
      <w:pPr>
        <w:pStyle w:val="BodyText"/>
      </w:pPr>
      <w:r>
        <w:t xml:space="preserve">The implication: IPAM systems that track only IP assignments are incomplete.</w:t>
      </w:r>
      <w:r>
        <w:t xml:space="preserve"> </w:t>
      </w:r>
      <w:r>
        <w:t xml:space="preserve">The full picture requires tracking the FQDN namespace — which FQDNs are</w:t>
      </w:r>
      <w:r>
        <w:t xml:space="preserve"> </w:t>
      </w:r>
      <w:r>
        <w:t xml:space="preserve">registered, which wildcard namespaces are active, which subdomains are in use,</w:t>
      </w:r>
      <w:r>
        <w:t xml:space="preserve"> </w:t>
      </w:r>
      <w:r>
        <w:t xml:space="preserve">and which certificates are bound to which namespaces. This is the DNS side of</w:t>
      </w:r>
      <w:r>
        <w:t xml:space="preserve"> </w:t>
      </w:r>
      <w:r>
        <w:t xml:space="preserve">IPAM, and it is the side that has not been consistently governed in the</w:t>
      </w:r>
      <w:r>
        <w:t xml:space="preserve"> </w:t>
      </w:r>
      <w:r>
        <w:t xml:space="preserve">per-CSP model.</w:t>
      </w:r>
    </w:p>
    <w:p>
      <w:pPr>
        <w:pStyle w:val="BodyText"/>
      </w:pPr>
      <w:r>
        <w:t xml:space="preserve">Infoblox Universal DDI’s IPAM module tracks both IP assignments and DNS records</w:t>
      </w:r>
      <w:r>
        <w:t xml:space="preserve"> </w:t>
      </w:r>
      <w:r>
        <w:t xml:space="preserve">across all managed surfaces. This makes it the only currently available platform</w:t>
      </w:r>
      <w:r>
        <w:t xml:space="preserve"> </w:t>
      </w:r>
      <w:r>
        <w:t xml:space="preserve">that can answer the question</w:t>
      </w:r>
      <w:r>
        <w:t xml:space="preserve"> </w:t>
      </w:r>
      <w:r>
        <w:t xml:space="preserve">“what is the complete FQDN namespace of our hybrid</w:t>
      </w:r>
      <w:r>
        <w:t xml:space="preserve"> </w:t>
      </w:r>
      <w:r>
        <w:t xml:space="preserve">multi-cloud estate?”</w:t>
      </w:r>
      <w:r>
        <w:t xml:space="preserve"> </w:t>
      </w:r>
      <w:r>
        <w:t xml:space="preserve">from a single console.</w:t>
      </w:r>
    </w:p>
    <w:bookmarkEnd w:id="53"/>
    <w:bookmarkStart w:id="54" w:name="Xb7a6e7ab5554c252214185bd7ff34bfb22fc810"/>
    <w:p>
      <w:pPr>
        <w:pStyle w:val="Heading3"/>
      </w:pPr>
      <w:r>
        <w:t xml:space="preserve">6.6 Geographic namespace and the application surface boundary</w:t>
      </w:r>
    </w:p>
    <w:p>
      <w:pPr>
        <w:pStyle w:val="FirstParagraph"/>
      </w:pPr>
      <w:r>
        <w:t xml:space="preserve">As agencies deploy applications across multiple geographic regions — for performance, redundancy, data residency, or sovereignty — the DNS namespace must encode regional identity. The correct pattern is a hierarchical geographic namespace:</w:t>
      </w:r>
      <w:r>
        <w:t xml:space="preserve"> </w:t>
      </w:r>
      <w:r>
        <w:rPr>
          <w:rStyle w:val="VerbatimChar"/>
        </w:rPr>
        <w:t xml:space="preserve">{app}.{region}.agency.gov</w:t>
      </w:r>
      <w:r>
        <w:t xml:space="preserve">, where</w:t>
      </w:r>
      <w:r>
        <w:t xml:space="preserve"> </w:t>
      </w:r>
      <w:r>
        <w:rPr>
          <w:rStyle w:val="VerbatimChar"/>
        </w:rPr>
        <w:t xml:space="preserve">{region}</w:t>
      </w:r>
      <w:r>
        <w:t xml:space="preserve"> </w:t>
      </w:r>
      <w:r>
        <w:t xml:space="preserve">is a stable label such as</w:t>
      </w:r>
      <w:r>
        <w:t xml:space="preserve"> </w:t>
      </w:r>
      <w:r>
        <w:rPr>
          <w:rStyle w:val="VerbatimChar"/>
        </w:rPr>
        <w:t xml:space="preserve">eastus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westus</w:t>
      </w:r>
      <w:r>
        <w:t xml:space="preserve">, or</w:t>
      </w:r>
      <w:r>
        <w:t xml:space="preserve"> </w:t>
      </w:r>
      <w:r>
        <w:rPr>
          <w:rStyle w:val="VerbatimChar"/>
        </w:rPr>
        <w:t xml:space="preserve">govcloud-east</w:t>
      </w:r>
      <w:r>
        <w:t xml:space="preserve">.</w:t>
      </w:r>
    </w:p>
    <w:p>
      <w:pPr>
        <w:pStyle w:val="BodyText"/>
      </w:pPr>
      <w:r>
        <w:t xml:space="preserve">This namespace is populated with specific A records per application per region (</w:t>
      </w:r>
      <w:r>
        <w:rPr>
          <w:rStyle w:val="VerbatimChar"/>
        </w:rPr>
        <w:t xml:space="preserve">payroll.eastus.agency.gov</w:t>
      </w:r>
      <w:r>
        <w:t xml:space="preserve">,</w:t>
      </w:r>
      <w:r>
        <w:t xml:space="preserve"> </w:t>
      </w:r>
      <w:r>
        <w:rPr>
          <w:rStyle w:val="VerbatimChar"/>
        </w:rPr>
        <w:t xml:space="preserve">payroll.westus.agency.gov</w:t>
      </w:r>
      <w:r>
        <w:t xml:space="preserve">) and optionally with leftmost-label wildcard records per region namespace (</w:t>
      </w:r>
      <w:r>
        <w:rPr>
          <w:rStyle w:val="VerbatimChar"/>
        </w:rPr>
        <w:t xml:space="preserve">*.eastus.agency.gov</w:t>
      </w:r>
      <w:r>
        <w:t xml:space="preserve">,</w:t>
      </w:r>
      <w:r>
        <w:t xml:space="preserve"> </w:t>
      </w:r>
      <w:r>
        <w:rPr>
          <w:rStyle w:val="VerbatimChar"/>
        </w:rPr>
        <w:t xml:space="preserve">*.westus.agency.gov</w:t>
      </w:r>
      <w:r>
        <w:t xml:space="preserve">). These wildcard records are RFC 1034-compliant — the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occupies the leftmost label position.</w:t>
      </w:r>
    </w:p>
    <w:p>
      <w:pPr>
        <w:pStyle w:val="BodyText"/>
      </w:pPr>
      <w:r>
        <w:t xml:space="preserve">The geographic namespace creates a new dimension of split-brain risk:</w:t>
      </w:r>
      <w:r>
        <w:t xml:space="preserve"> </w:t>
      </w:r>
      <w:r>
        <w:rPr>
          <w:b/>
          <w:bCs/>
        </w:rPr>
        <w:t xml:space="preserve">geographic split-brain</w:t>
      </w:r>
      <w:r>
        <w:t xml:space="preserve">. In a per-CSP model, the AWS private zone in US-East might correctly resolve</w:t>
      </w:r>
      <w:r>
        <w:t xml:space="preserve"> </w:t>
      </w:r>
      <w:r>
        <w:rPr>
          <w:rStyle w:val="VerbatimChar"/>
        </w:rPr>
        <w:t xml:space="preserve">payroll.eastus.agency.gov</w:t>
      </w:r>
      <w:r>
        <w:t xml:space="preserve">, while the Azure private zone in US-West lacks the record entirely. A user whose DNS query is forwarded to the Azure resolver receives NXDOMAIN for a name that exists on AWS. The failure is not a different IP address (classic split-brain) but a missing record — which produces a different failure signature and may not trigger the same alerting thresholds.</w:t>
      </w:r>
    </w:p>
    <w:p>
      <w:pPr>
        <w:pStyle w:val="BodyText"/>
      </w:pPr>
      <w:r>
        <w:t xml:space="preserve">Geographic split-brain also creates</w:t>
      </w:r>
      <w:r>
        <w:t xml:space="preserve"> </w:t>
      </w:r>
      <w:r>
        <w:rPr>
          <w:b/>
          <w:bCs/>
        </w:rPr>
        <w:t xml:space="preserve">data residency violations that appear as application behavior</w:t>
      </w:r>
      <w:r>
        <w:t xml:space="preserve">. If</w:t>
      </w:r>
      <w:r>
        <w:t xml:space="preserve"> </w:t>
      </w:r>
      <w:r>
        <w:rPr>
          <w:rStyle w:val="VerbatimChar"/>
        </w:rPr>
        <w:t xml:space="preserve">payroll.eastus.agency.gov</w:t>
      </w:r>
      <w:r>
        <w:t xml:space="preserve"> </w:t>
      </w:r>
      <w:r>
        <w:t xml:space="preserve">(which should route to the east datacenter) resolves to the west datacenter IP address on a client whose DNS forwarder has a stale or incorrect entry, payroll data crosses a geographic boundary that policy prohibits — with no network-layer indication that anything went wrong. The TLS connection succeeds; the certificate validates; the application responds. Only the data location is wrong.</w:t>
      </w:r>
    </w:p>
    <w:p>
      <w:pPr>
        <w:pStyle w:val="BodyText"/>
      </w:pPr>
      <w:r>
        <w:t xml:space="preserve">Governing a geographic namespace requires that the same authoritative source of truth publish consistent records for</w:t>
      </w:r>
      <w:r>
        <w:t xml:space="preserve"> </w:t>
      </w:r>
      <w:r>
        <w:rPr>
          <w:rStyle w:val="VerbatimChar"/>
        </w:rPr>
        <w:t xml:space="preserve">*.eastus.agency.gov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*.westus.agency.gov</w:t>
      </w:r>
      <w:r>
        <w:t xml:space="preserve"> </w:t>
      </w:r>
      <w:r>
        <w:t xml:space="preserve">across every DNS surface where clients may query. This is precisely the consistency problem that per-CSP DNS cannot solve and unified DDI management directly addresses.</w:t>
      </w:r>
    </w:p>
    <w:p>
      <w:r>
        <w:pict>
          <v:rect style="width:0;height:1.5pt" o:hralign="center" o:hrstd="t" o:hr="t"/>
        </w:pict>
      </w:r>
    </w:p>
    <w:bookmarkEnd w:id="54"/>
    <w:bookmarkEnd w:id="55"/>
    <w:bookmarkStart w:id="67" w:name="Xd128566e5e8e49b9f27a2623b08577d83ab89ca"/>
    <w:p>
      <w:pPr>
        <w:pStyle w:val="Heading2"/>
      </w:pPr>
      <w:r>
        <w:t xml:space="preserve">Part 7 — Infoblox Universal DDI: The Federal Answer</w:t>
      </w:r>
    </w:p>
    <w:bookmarkStart w:id="56" w:name="what-ddi-is"/>
    <w:p>
      <w:pPr>
        <w:pStyle w:val="Heading3"/>
      </w:pPr>
      <w:r>
        <w:t xml:space="preserve">7.1 What DDI is</w:t>
      </w:r>
    </w:p>
    <w:p>
      <w:pPr>
        <w:pStyle w:val="FirstParagraph"/>
      </w:pPr>
      <w:r>
        <w:t xml:space="preserve">DDI stands for DNS, DHCP, and IP Address Management — the three interrelated</w:t>
      </w:r>
      <w:r>
        <w:t xml:space="preserve"> </w:t>
      </w:r>
      <w:r>
        <w:t xml:space="preserve">network services that govern how devices get addresses, how those addresses</w:t>
      </w:r>
      <w:r>
        <w:t xml:space="preserve"> </w:t>
      </w:r>
      <w:r>
        <w:t xml:space="preserve">are published in DNS, and how the name space is managed as a whole. Historically,</w:t>
      </w:r>
      <w:r>
        <w:t xml:space="preserve"> </w:t>
      </w:r>
      <w:r>
        <w:t xml:space="preserve">these three services were managed separately: DNS on one server, DHCP on</w:t>
      </w:r>
      <w:r>
        <w:t xml:space="preserve"> </w:t>
      </w:r>
      <w:r>
        <w:t xml:space="preserve">another, IPAM as a spreadsheet. Infoblox built the first integrated DDI</w:t>
      </w:r>
      <w:r>
        <w:t xml:space="preserve"> </w:t>
      </w:r>
      <w:r>
        <w:t xml:space="preserve">platform to manage all three as a unified discipline.</w:t>
      </w:r>
    </w:p>
    <w:p>
      <w:pPr>
        <w:pStyle w:val="BodyText"/>
      </w:pPr>
      <w:r>
        <w:t xml:space="preserve">The integration matters because the three services are not independent:</w:t>
      </w:r>
    </w:p>
    <w:p>
      <w:pPr>
        <w:pStyle w:val="Compact"/>
        <w:numPr>
          <w:ilvl w:val="0"/>
          <w:numId w:val="1009"/>
        </w:numPr>
      </w:pPr>
      <w:r>
        <w:t xml:space="preserve">DHCP assigns an IP address. That assignment should automatically create a</w:t>
      </w:r>
      <w:r>
        <w:t xml:space="preserve"> </w:t>
      </w:r>
      <w:r>
        <w:t xml:space="preserve">DNS A record and a PTR (reverse lookup) record.</w:t>
      </w:r>
    </w:p>
    <w:p>
      <w:pPr>
        <w:pStyle w:val="Compact"/>
        <w:numPr>
          <w:ilvl w:val="0"/>
          <w:numId w:val="1009"/>
        </w:numPr>
      </w:pPr>
      <w:r>
        <w:t xml:space="preserve">DNS hosts those records. When the DHCP lease expires, the DNS records</w:t>
      </w:r>
      <w:r>
        <w:t xml:space="preserve"> </w:t>
      </w:r>
      <w:r>
        <w:t xml:space="preserve">should be removed automatically.</w:t>
      </w:r>
    </w:p>
    <w:p>
      <w:pPr>
        <w:pStyle w:val="Compact"/>
        <w:numPr>
          <w:ilvl w:val="0"/>
          <w:numId w:val="1009"/>
        </w:numPr>
      </w:pPr>
      <w:r>
        <w:t xml:space="preserve">IPAM tracks the overall address space — which subnets are allocated, which</w:t>
      </w:r>
      <w:r>
        <w:t xml:space="preserve"> </w:t>
      </w:r>
      <w:r>
        <w:t xml:space="preserve">addresses are in use, which are available — and feeds that information back</w:t>
      </w:r>
      <w:r>
        <w:t xml:space="preserve"> </w:t>
      </w:r>
      <w:r>
        <w:t xml:space="preserve">into DHCP scope configuration.</w:t>
      </w:r>
    </w:p>
    <w:p>
      <w:pPr>
        <w:pStyle w:val="FirstParagraph"/>
      </w:pPr>
      <w:r>
        <w:t xml:space="preserve">When the three services are managed independently, these relationships must</w:t>
      </w:r>
      <w:r>
        <w:t xml:space="preserve"> </w:t>
      </w:r>
      <w:r>
        <w:t xml:space="preserve">be maintained manually. IP addresses are assigned by DHCP, DNS records are</w:t>
      </w:r>
      <w:r>
        <w:t xml:space="preserve"> </w:t>
      </w:r>
      <w:r>
        <w:t xml:space="preserve">created by hand, and IPAM is updated by spreadsheet — with the inevitable</w:t>
      </w:r>
      <w:r>
        <w:t xml:space="preserve"> </w:t>
      </w:r>
      <w:r>
        <w:t xml:space="preserve">result that the three are inconsistent. An IP address that DHCP has reclaimed</w:t>
      </w:r>
      <w:r>
        <w:t xml:space="preserve"> </w:t>
      </w:r>
      <w:r>
        <w:t xml:space="preserve">and reassigned still has an old DNS A record pointing at it. A new service</w:t>
      </w:r>
      <w:r>
        <w:t xml:space="preserve"> </w:t>
      </w:r>
      <w:r>
        <w:t xml:space="preserve">has a DHCP reservation but no DNS entry. IPAM shows addresses as available</w:t>
      </w:r>
      <w:r>
        <w:t xml:space="preserve"> </w:t>
      </w:r>
      <w:r>
        <w:t xml:space="preserve">that DNS records still reference.</w:t>
      </w:r>
    </w:p>
    <w:p>
      <w:pPr>
        <w:pStyle w:val="BodyText"/>
      </w:pPr>
      <w:r>
        <w:t xml:space="preserve">Unified DDI eliminates this class of inconsistency by making the three</w:t>
      </w:r>
      <w:r>
        <w:t xml:space="preserve"> </w:t>
      </w:r>
      <w:r>
        <w:t xml:space="preserve">services a single managed object.</w:t>
      </w:r>
    </w:p>
    <w:bookmarkEnd w:id="56"/>
    <w:bookmarkStart w:id="57" w:name="infoblox-nios-on-premises-ddi"/>
    <w:p>
      <w:pPr>
        <w:pStyle w:val="Heading3"/>
      </w:pPr>
      <w:r>
        <w:t xml:space="preserve">7.2 Infoblox NIOS: on-premises DDI</w:t>
      </w:r>
    </w:p>
    <w:p>
      <w:pPr>
        <w:pStyle w:val="FirstParagraph"/>
      </w:pPr>
      <w:r>
        <w:t xml:space="preserve">Infoblox NIOS (Network Identity Operating System) is Infoblox’s on-premises</w:t>
      </w:r>
      <w:r>
        <w:t xml:space="preserve"> </w:t>
      </w:r>
      <w:r>
        <w:t xml:space="preserve">DDI platform, deployable as a physical appliance, a virtual appliance (vNIOS),</w:t>
      </w:r>
      <w:r>
        <w:t xml:space="preserve"> </w:t>
      </w:r>
      <w:r>
        <w:t xml:space="preserve">or a container. NIOS operates as a Grid — a cluster of appliances that share</w:t>
      </w:r>
      <w:r>
        <w:t xml:space="preserve"> </w:t>
      </w:r>
      <w:r>
        <w:t xml:space="preserve">a replicated database and present a unified management interface. The Grid</w:t>
      </w:r>
      <w:r>
        <w:t xml:space="preserve"> </w:t>
      </w:r>
      <w:r>
        <w:t xml:space="preserve">architecture provides high availability: any Grid member can serve DNS and</w:t>
      </w:r>
      <w:r>
        <w:t xml:space="preserve"> </w:t>
      </w:r>
      <w:r>
        <w:t xml:space="preserve">DHCP queries, and the database is replicated across all members in near</w:t>
      </w:r>
      <w:r>
        <w:t xml:space="preserve"> </w:t>
      </w:r>
      <w:r>
        <w:t xml:space="preserve">real-time.</w:t>
      </w:r>
    </w:p>
    <w:p>
      <w:pPr>
        <w:pStyle w:val="BodyText"/>
      </w:pPr>
      <w:r>
        <w:rPr>
          <w:b/>
          <w:bCs/>
        </w:rPr>
        <w:t xml:space="preserve">NIOS-X</w:t>
      </w:r>
      <w:r>
        <w:t xml:space="preserve"> </w:t>
      </w:r>
      <w:r>
        <w:t xml:space="preserve">is the newer cloud-native variant. Where classic NIOS runs as a</w:t>
      </w:r>
      <w:r>
        <w:t xml:space="preserve"> </w:t>
      </w:r>
      <w:r>
        <w:t xml:space="preserve">virtual appliance, NIOS-X is containerized and deployable in Kubernetes</w:t>
      </w:r>
      <w:r>
        <w:t xml:space="preserve"> </w:t>
      </w:r>
      <w:r>
        <w:t xml:space="preserve">environments, including cloud-native infrastructure in AWS, Azure, and GCP.</w:t>
      </w:r>
      <w:r>
        <w:t xml:space="preserve"> </w:t>
      </w:r>
      <w:r>
        <w:t xml:space="preserve">NIOS-X participates in the same Universal DDI management plane and is</w:t>
      </w:r>
      <w:r>
        <w:t xml:space="preserve"> </w:t>
      </w:r>
      <w:r>
        <w:t xml:space="preserve">particularly relevant for agencies that are expanding Grid coverage into</w:t>
      </w:r>
      <w:r>
        <w:t xml:space="preserve"> </w:t>
      </w:r>
      <w:r>
        <w:t xml:space="preserve">cloud environments without running full virtual appliance stacks per VPC.</w:t>
      </w:r>
    </w:p>
    <w:p>
      <w:pPr>
        <w:pStyle w:val="BodyText"/>
      </w:pPr>
      <w:r>
        <w:t xml:space="preserve">Key NIOS capabilities relevant to the hybrid multi-cloud context:</w:t>
      </w:r>
    </w:p>
    <w:p>
      <w:pPr>
        <w:pStyle w:val="BodyText"/>
      </w:pPr>
      <w:r>
        <w:rPr>
          <w:b/>
          <w:bCs/>
        </w:rPr>
        <w:t xml:space="preserve">DNS authoritative and recursive resolution.</w:t>
      </w:r>
      <w:r>
        <w:t xml:space="preserve"> </w:t>
      </w:r>
      <w:r>
        <w:t xml:space="preserve">NIOS can serve as both</w:t>
      </w:r>
      <w:r>
        <w:t xml:space="preserve"> </w:t>
      </w:r>
      <w:r>
        <w:t xml:space="preserve">the authoritative server for internal zones (replacing AD DNS) and the</w:t>
      </w:r>
      <w:r>
        <w:t xml:space="preserve"> </w:t>
      </w:r>
      <w:r>
        <w:t xml:space="preserve">recursive resolver for all client queries. In the recursive role, NIOS</w:t>
      </w:r>
      <w:r>
        <w:t xml:space="preserve"> </w:t>
      </w:r>
      <w:r>
        <w:t xml:space="preserve">intercepts all DNS queries before they reach public resolvers or CSP</w:t>
      </w:r>
      <w:r>
        <w:t xml:space="preserve"> </w:t>
      </w:r>
      <w:r>
        <w:t xml:space="preserve">resolvers, enabling policy enforcement on every query.</w:t>
      </w:r>
    </w:p>
    <w:p>
      <w:pPr>
        <w:pStyle w:val="BodyText"/>
      </w:pPr>
      <w:r>
        <w:rPr>
          <w:b/>
          <w:bCs/>
        </w:rPr>
        <w:t xml:space="preserve">Response Policy Zones (RPZ).</w:t>
      </w:r>
      <w:r>
        <w:t xml:space="preserve"> </w:t>
      </w:r>
      <w:r>
        <w:t xml:space="preserve">RPZ is a DNS-layer security mechanism that</w:t>
      </w:r>
      <w:r>
        <w:t xml:space="preserve"> </w:t>
      </w:r>
      <w:r>
        <w:t xml:space="preserve">intercepts queries for domains in a block list and returns a policy response</w:t>
      </w:r>
      <w:r>
        <w:t xml:space="preserve"> </w:t>
      </w:r>
      <w:r>
        <w:t xml:space="preserve">(NXDOMAIN, NODATA, or a specific address) before the query is forwarded.</w:t>
      </w:r>
      <w:r>
        <w:t xml:space="preserve"> </w:t>
      </w:r>
      <w:r>
        <w:t xml:space="preserve">Infoblox maintains threat intelligence feeds that are automatically ingested</w:t>
      </w:r>
      <w:r>
        <w:t xml:space="preserve"> </w:t>
      </w:r>
      <w:r>
        <w:t xml:space="preserve">into RPZ, providing DNS-layer protection against malware, phishing, and</w:t>
      </w:r>
      <w:r>
        <w:t xml:space="preserve"> </w:t>
      </w:r>
      <w:r>
        <w:t xml:space="preserve">command-and-control infrastructure without requiring endpoint agents.</w:t>
      </w:r>
    </w:p>
    <w:p>
      <w:pPr>
        <w:pStyle w:val="BodyText"/>
      </w:pPr>
      <w:r>
        <w:rPr>
          <w:b/>
          <w:bCs/>
        </w:rPr>
        <w:t xml:space="preserve">DNSSEC.</w:t>
      </w:r>
      <w:r>
        <w:t xml:space="preserve"> </w:t>
      </w:r>
      <w:r>
        <w:t xml:space="preserve">NIOS implements full DNSSEC validation and signing. As a</w:t>
      </w:r>
      <w:r>
        <w:t xml:space="preserve"> </w:t>
      </w:r>
      <w:r>
        <w:t xml:space="preserve">validating resolver, it verifies the cryptographic signatures on DNS responses</w:t>
      </w:r>
      <w:r>
        <w:t xml:space="preserve"> </w:t>
      </w:r>
      <w:r>
        <w:t xml:space="preserve">received from authoritative servers, protecting clients from DNS spoofing and</w:t>
      </w:r>
      <w:r>
        <w:t xml:space="preserve"> </w:t>
      </w:r>
      <w:r>
        <w:t xml:space="preserve">cache poisoning attacks. As a signing authority, it signs the zones it is</w:t>
      </w:r>
      <w:r>
        <w:t xml:space="preserve"> </w:t>
      </w:r>
      <w:r>
        <w:t xml:space="preserve">authoritative for, enabling downstream validation.</w:t>
      </w:r>
    </w:p>
    <w:p>
      <w:pPr>
        <w:pStyle w:val="BodyText"/>
      </w:pPr>
      <w:r>
        <w:rPr>
          <w:b/>
          <w:bCs/>
        </w:rPr>
        <w:t xml:space="preserve">Conditional forwarding.</w:t>
      </w:r>
      <w:r>
        <w:t xml:space="preserve"> </w:t>
      </w:r>
      <w:r>
        <w:t xml:space="preserve">NIOS maintains a forwarding configuration that</w:t>
      </w:r>
      <w:r>
        <w:t xml:space="preserve"> </w:t>
      </w:r>
      <w:r>
        <w:t xml:space="preserve">maps DNS namespaces to upstream resolvers. This is the mechanism by which</w:t>
      </w:r>
      <w:r>
        <w:t xml:space="preserve"> </w:t>
      </w:r>
      <w:r>
        <w:t xml:space="preserve">on-premises clients reach per-CSP private DNS zones: NIOS forwards queries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privatelink.blob.core.windows.net</w:t>
      </w:r>
      <w:r>
        <w:t xml:space="preserve"> </w:t>
      </w:r>
      <w:r>
        <w:t xml:space="preserve">to the Azure DNS Private Resolver,</w:t>
      </w:r>
      <w:r>
        <w:t xml:space="preserve"> </w:t>
      </w:r>
      <w:r>
        <w:t xml:space="preserve">queries for</w:t>
      </w:r>
      <w:r>
        <w:t xml:space="preserve"> </w:t>
      </w:r>
      <w:r>
        <w:rPr>
          <w:rStyle w:val="VerbatimChar"/>
        </w:rPr>
        <w:t xml:space="preserve">*.compute.internal</w:t>
      </w:r>
      <w:r>
        <w:t xml:space="preserve"> </w:t>
      </w:r>
      <w:r>
        <w:t xml:space="preserve">to the GCP Cloud DNS resolver, and queries</w:t>
      </w:r>
      <w:r>
        <w:t xml:space="preserve"> </w:t>
      </w:r>
      <w:r>
        <w:t xml:space="preserve">for Route 53 private hosted zones to the Route 53 Resolver inbound endpoint.</w:t>
      </w:r>
      <w:r>
        <w:t xml:space="preserve"> </w:t>
      </w:r>
      <w:r>
        <w:t xml:space="preserve">In the per-CSP model, these forwarding rules must be maintained manually.</w:t>
      </w:r>
      <w:r>
        <w:t xml:space="preserve"> </w:t>
      </w:r>
      <w:r>
        <w:t xml:space="preserve">In Universal DDI, they are managed through a single interface.</w:t>
      </w:r>
    </w:p>
    <w:p>
      <w:pPr>
        <w:pStyle w:val="BodyText"/>
      </w:pPr>
      <w:r>
        <w:rPr>
          <w:b/>
          <w:bCs/>
        </w:rPr>
        <w:t xml:space="preserve">Grid replication and WAN latency.</w:t>
      </w:r>
      <w:r>
        <w:t xml:space="preserve"> </w:t>
      </w:r>
      <w:r>
        <w:t xml:space="preserve">The NIOS Grid replicates its database</w:t>
      </w:r>
      <w:r>
        <w:t xml:space="preserve"> </w:t>
      </w:r>
      <w:r>
        <w:t xml:space="preserve">across all Grid members. This replication is subject to the same WAN physics</w:t>
      </w:r>
      <w:r>
        <w:t xml:space="preserve"> </w:t>
      </w:r>
      <w:r>
        <w:t xml:space="preserve">that govern any distributed system: propagation delay is fixed by distance</w:t>
      </w:r>
      <w:r>
        <w:t xml:space="preserve"> </w:t>
      </w:r>
      <w:r>
        <w:t xml:space="preserve">(approximately 5 ms per 1,000 km, one-way), and that floor cannot be</w:t>
      </w:r>
      <w:r>
        <w:t xml:space="preserve"> </w:t>
      </w:r>
      <w:r>
        <w:t xml:space="preserve">reduced by any networking technique. A Grid spanning a coast-to-coast</w:t>
      </w:r>
      <w:r>
        <w:t xml:space="preserve"> </w:t>
      </w:r>
      <w:r>
        <w:t xml:space="preserve">enterprise is therefore replicating across a propagation floor of roughly</w:t>
      </w:r>
      <w:r>
        <w:t xml:space="preserve"> </w:t>
      </w:r>
      <w:r>
        <w:t xml:space="preserve">25–30 ms round-trip minimum — meaning DNS record updates made at the Grid</w:t>
      </w:r>
      <w:r>
        <w:t xml:space="preserve"> </w:t>
      </w:r>
      <w:r>
        <w:t xml:space="preserve">Primary reach remote Grid Members with a physical minimum latency of that</w:t>
      </w:r>
      <w:r>
        <w:t xml:space="preserve"> </w:t>
      </w:r>
      <w:r>
        <w:t xml:space="preserve">magnitude before any congestion or routing overhead is added. Infoblox’s</w:t>
      </w:r>
      <w:r>
        <w:t xml:space="preserve"> </w:t>
      </w:r>
      <w:r>
        <w:t xml:space="preserve">Grid tolerates this by allowing each member to serve authoritatively from</w:t>
      </w:r>
      <w:r>
        <w:t xml:space="preserve"> </w:t>
      </w:r>
      <w:r>
        <w:t xml:space="preserve">its local database copy, accepting bounded staleness in exchange for local</w:t>
      </w:r>
      <w:r>
        <w:t xml:space="preserve"> </w:t>
      </w:r>
      <w:r>
        <w:t xml:space="preserve">performance. In practice, the operational implication is: DNS record changes</w:t>
      </w:r>
      <w:r>
        <w:t xml:space="preserve"> </w:t>
      </w:r>
      <w:r>
        <w:t xml:space="preserve">propagate to all Grid members within seconds under normal WAN conditions,</w:t>
      </w:r>
      <w:r>
        <w:t xml:space="preserve"> </w:t>
      </w:r>
      <w:r>
        <w:t xml:space="preserve">but agencies should not rely on millisecond convergence for time-critical</w:t>
      </w:r>
      <w:r>
        <w:t xml:space="preserve"> </w:t>
      </w:r>
      <w:r>
        <w:t xml:space="preserve">security operations in WAN-distributed Grids. The BloxOne SaaS plane</w:t>
      </w:r>
      <w:r>
        <w:t xml:space="preserve"> </w:t>
      </w:r>
      <w:r>
        <w:t xml:space="preserve">provides a single authoritative source of truth that is not subject to</w:t>
      </w:r>
      <w:r>
        <w:t xml:space="preserve"> </w:t>
      </w:r>
      <w:r>
        <w:t xml:space="preserve">Grid replication latency between remote sites.</w:t>
      </w:r>
    </w:p>
    <w:bookmarkEnd w:id="57"/>
    <w:bookmarkStart w:id="58" w:name="dhcp-the-full-governance-surface"/>
    <w:p>
      <w:pPr>
        <w:pStyle w:val="Heading3"/>
      </w:pPr>
      <w:r>
        <w:t xml:space="preserve">7.3 DHCP: the full governance surface</w:t>
      </w:r>
    </w:p>
    <w:p>
      <w:pPr>
        <w:pStyle w:val="FirstParagraph"/>
      </w:pPr>
      <w:r>
        <w:t xml:space="preserve">DHCP (Dynamic Host Configuration Protocol) is the most widely deployed</w:t>
      </w:r>
      <w:r>
        <w:t xml:space="preserve"> </w:t>
      </w:r>
      <w:r>
        <w:t xml:space="preserve">network service that most engineers think about least. Every device on a</w:t>
      </w:r>
      <w:r>
        <w:t xml:space="preserve"> </w:t>
      </w:r>
      <w:r>
        <w:t xml:space="preserve">managed network — workstation, server, printer, IoT sensor, mobile device,</w:t>
      </w:r>
      <w:r>
        <w:t xml:space="preserve"> </w:t>
      </w:r>
      <w:r>
        <w:t xml:space="preserve">VDI session — acquires its IP address, default gateway, DNS server, and</w:t>
      </w:r>
      <w:r>
        <w:t xml:space="preserve"> </w:t>
      </w:r>
      <w:r>
        <w:t xml:space="preserve">domain search suffix through DHCP. In a hybrid multi-cloud environment,</w:t>
      </w:r>
      <w:r>
        <w:t xml:space="preserve"> </w:t>
      </w:r>
      <w:r>
        <w:t xml:space="preserve">DHCP failures are invisible until they cascade into connectivity outages</w:t>
      </w:r>
      <w:r>
        <w:t xml:space="preserve"> </w:t>
      </w:r>
      <w:r>
        <w:t xml:space="preserve">whose root cause is not DNS, not routing, but address assignment.</w:t>
      </w:r>
    </w:p>
    <w:p>
      <w:pPr>
        <w:pStyle w:val="BodyText"/>
      </w:pPr>
      <w:r>
        <w:t xml:space="preserve">Infoblox NIOS DHCP is a full enterprise DHCP server integrated with IPAM</w:t>
      </w:r>
      <w:r>
        <w:t xml:space="preserve"> </w:t>
      </w:r>
      <w:r>
        <w:t xml:space="preserve">and DNS. The governance surface it manages is larger than the</w:t>
      </w:r>
      <w:r>
        <w:t xml:space="preserve"> </w:t>
      </w:r>
      <w:r>
        <w:t xml:space="preserve">“IP address”</w:t>
      </w:r>
      <w:r>
        <w:t xml:space="preserve"> </w:t>
      </w:r>
      <w:r>
        <w:t xml:space="preserve">abstraction suggests.</w:t>
      </w:r>
    </w:p>
    <w:p>
      <w:pPr>
        <w:pStyle w:val="BodyText"/>
      </w:pPr>
      <w:r>
        <w:rPr>
          <w:b/>
          <w:bCs/>
        </w:rPr>
        <w:t xml:space="preserve">Scopes, ranges, and exclusions.</w:t>
      </w:r>
      <w:r>
        <w:t xml:space="preserve"> </w:t>
      </w:r>
      <w:r>
        <w:t xml:space="preserve">A DHCP scope defines the address range</w:t>
      </w:r>
      <w:r>
        <w:t xml:space="preserve"> </w:t>
      </w:r>
      <w:r>
        <w:t xml:space="preserve">available for dynamic assignment within a subnet. Exclusion ranges carve out</w:t>
      </w:r>
      <w:r>
        <w:t xml:space="preserve"> </w:t>
      </w:r>
      <w:r>
        <w:t xml:space="preserve">addresses that are assigned statically (servers, printers, infrastructure).</w:t>
      </w:r>
      <w:r>
        <w:t xml:space="preserve"> </w:t>
      </w:r>
      <w:r>
        <w:t xml:space="preserve">Reservations bind a specific MAC address or client identifier to a specific</w:t>
      </w:r>
      <w:r>
        <w:t xml:space="preserve"> </w:t>
      </w:r>
      <w:r>
        <w:t xml:space="preserve">IP address, providing the benefits of static assignment without the overhead</w:t>
      </w:r>
      <w:r>
        <w:t xml:space="preserve"> </w:t>
      </w:r>
      <w:r>
        <w:t xml:space="preserve">of manual DNS record management — because the reservation triggers automatic</w:t>
      </w:r>
      <w:r>
        <w:t xml:space="preserve"> </w:t>
      </w:r>
      <w:r>
        <w:t xml:space="preserve">A and PTR record creation just like a dynamic lease. Infoblox NIOS tracks</w:t>
      </w:r>
      <w:r>
        <w:t xml:space="preserve"> </w:t>
      </w:r>
      <w:r>
        <w:t xml:space="preserve">all three (scope, exclusion, reservation) as a unified IPAM object, which</w:t>
      </w:r>
      <w:r>
        <w:t xml:space="preserve"> </w:t>
      </w:r>
      <w:r>
        <w:t xml:space="preserve">means the IPAM view always reflects what is actually assigned, not what was</w:t>
      </w:r>
      <w:r>
        <w:t xml:space="preserve"> </w:t>
      </w:r>
      <w:r>
        <w:t xml:space="preserve">last updated in a spreadsheet.</w:t>
      </w:r>
    </w:p>
    <w:p>
      <w:pPr>
        <w:pStyle w:val="BodyText"/>
      </w:pPr>
      <w:r>
        <w:rPr>
          <w:b/>
          <w:bCs/>
        </w:rPr>
        <w:t xml:space="preserve">DHCP options: the configuration broadcast.</w:t>
      </w:r>
      <w:r>
        <w:t xml:space="preserve"> </w:t>
      </w:r>
      <w:r>
        <w:t xml:space="preserve">Every DHCP response carries</w:t>
      </w:r>
      <w:r>
        <w:t xml:space="preserve"> </w:t>
      </w:r>
      <w:r>
        <w:t xml:space="preserve">option fields that tell the client how to configure itself. The options most</w:t>
      </w:r>
      <w:r>
        <w:t xml:space="preserve"> </w:t>
      </w:r>
      <w:r>
        <w:t xml:space="preserve">relevant to hybrid multi-cloud DNS governance: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Option</w:t>
            </w:r>
          </w:p>
        </w:tc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Function</w:t>
            </w:r>
          </w:p>
        </w:tc>
        <w:tc>
          <w:tcPr/>
          <w:p>
            <w:pPr>
              <w:pStyle w:val="Compact"/>
            </w:pPr>
            <w:r>
              <w:t xml:space="preserve">Governance implication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DNS Servers</w:t>
            </w:r>
          </w:p>
        </w:tc>
        <w:tc>
          <w:tcPr/>
          <w:p>
            <w:pPr>
              <w:pStyle w:val="Compact"/>
            </w:pPr>
            <w:r>
              <w:t xml:space="preserve">Which resolvers to use</w:t>
            </w:r>
          </w:p>
        </w:tc>
        <w:tc>
          <w:tcPr/>
          <w:p>
            <w:pPr>
              <w:pStyle w:val="Compact"/>
            </w:pPr>
            <w:r>
              <w:t xml:space="preserve">Must point to Infoblox/NIOS, not per-CSP resolvers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Domain Name</w:t>
            </w:r>
          </w:p>
        </w:tc>
        <w:tc>
          <w:tcPr/>
          <w:p>
            <w:pPr>
              <w:pStyle w:val="Compact"/>
            </w:pPr>
            <w:r>
              <w:t xml:space="preserve">Default search domain</w:t>
            </w:r>
          </w:p>
        </w:tc>
        <w:tc>
          <w:tcPr/>
          <w:p>
            <w:pPr>
              <w:pStyle w:val="Compact"/>
            </w:pPr>
            <w:r>
              <w:t xml:space="preserve">Must match authoritative zone; wrong value causes unresolved FQDNs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Domain Search List</w:t>
            </w:r>
          </w:p>
        </w:tc>
        <w:tc>
          <w:tcPr/>
          <w:p>
            <w:pPr>
              <w:pStyle w:val="Compact"/>
            </w:pPr>
            <w:r>
              <w:t xml:space="preserve">Ordered list of search suffixes</w:t>
            </w:r>
          </w:p>
        </w:tc>
        <w:tc>
          <w:tcPr/>
          <w:p>
            <w:pPr>
              <w:pStyle w:val="Compact"/>
            </w:pPr>
            <w:r>
              <w:t xml:space="preserve">Complex multi-domain environments; stale entries cause resolution to wrong zone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Vendor-Specific</w:t>
            </w:r>
          </w:p>
        </w:tc>
        <w:tc>
          <w:tcPr/>
          <w:p>
            <w:pPr>
              <w:pStyle w:val="Compact"/>
            </w:pPr>
            <w:r>
              <w:t xml:space="preserve">Vendor-specific config (PXE, phones)</w:t>
            </w:r>
          </w:p>
        </w:tc>
        <w:tc>
          <w:tcPr/>
          <w:p>
            <w:pPr>
              <w:pStyle w:val="Compact"/>
            </w:pPr>
            <w:r>
              <w:t xml:space="preserve">Often carries IP Phone server addresses; must be consistent across sites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Vendor Class ID</w:t>
            </w:r>
          </w:p>
        </w:tc>
        <w:tc>
          <w:tcPr/>
          <w:p>
            <w:pPr>
              <w:pStyle w:val="Compact"/>
            </w:pPr>
            <w:r>
              <w:t xml:space="preserve">Client identifies vendor class</w:t>
            </w:r>
          </w:p>
        </w:tc>
        <w:tc>
          <w:tcPr/>
          <w:p>
            <w:pPr>
              <w:pStyle w:val="Compact"/>
            </w:pPr>
            <w:r>
              <w:t xml:space="preserve">Allows DHCP to return different option sets per device type (PXE vs. phone vs. workstation)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Relay Agent Info</w:t>
            </w:r>
          </w:p>
        </w:tc>
        <w:tc>
          <w:tcPr/>
          <w:p>
            <w:pPr>
              <w:pStyle w:val="Compact"/>
            </w:pPr>
            <w:r>
              <w:t xml:space="preserve">Added by DHCP relay (router)</w:t>
            </w:r>
          </w:p>
        </w:tc>
        <w:tc>
          <w:tcPr/>
          <w:p>
            <w:pPr>
              <w:pStyle w:val="Compact"/>
            </w:pPr>
            <w:r>
              <w:t xml:space="preserve">Circuit-ID and remote-ID identify the physical switch port; used for IPAM attribution and security logging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252</w:t>
            </w:r>
          </w:p>
        </w:tc>
        <w:tc>
          <w:tcPr/>
          <w:p>
            <w:pPr>
              <w:pStyle w:val="Compact"/>
            </w:pPr>
            <w:r>
              <w:t xml:space="preserve">WPAD (Proxy Auto-Discovery)</w:t>
            </w:r>
          </w:p>
        </w:tc>
        <w:tc>
          <w:tcPr/>
          <w:p>
            <w:pPr>
              <w:pStyle w:val="Compact"/>
            </w:pPr>
            <w:r>
              <w:t xml:space="preserve">Web proxy configuration URL</w:t>
            </w:r>
          </w:p>
        </w:tc>
        <w:tc>
          <w:tcPr/>
          <w:p>
            <w:pPr>
              <w:pStyle w:val="Compact"/>
            </w:pPr>
            <w:r>
              <w:t xml:space="preserve">Carries the WPAD script location; incorrect value bypasses proxy; security-relevant</w:t>
            </w:r>
          </w:p>
        </w:tc>
      </w:tr>
    </w:tbl>
    <w:p>
      <w:pPr>
        <w:pStyle w:val="BodyText"/>
      </w:pPr>
      <w:r>
        <w:t xml:space="preserve">Option 6 is the highest-consequence option in a hybrid DDI context: if</w:t>
      </w:r>
      <w:r>
        <w:t xml:space="preserve"> </w:t>
      </w:r>
      <w:r>
        <w:t xml:space="preserve">DHCP distributes the wrong DNS server address — or if multiple DHCP servers</w:t>
      </w:r>
      <w:r>
        <w:t xml:space="preserve"> </w:t>
      </w:r>
      <w:r>
        <w:t xml:space="preserve">in different parts of the estate are distributing different option-6 values</w:t>
      </w:r>
      <w:r>
        <w:t xml:space="preserve"> </w:t>
      </w:r>
      <w:r>
        <w:t xml:space="preserve">— clients resolve DNS through different resolvers and the RPZ, DNSSEC, and</w:t>
      </w:r>
      <w:r>
        <w:t xml:space="preserve"> </w:t>
      </w:r>
      <w:r>
        <w:t xml:space="preserve">forwarding policy is unevenly applied. In the per-CSP model, cloud DHCP</w:t>
      </w:r>
      <w:r>
        <w:t xml:space="preserve"> </w:t>
      </w:r>
      <w:r>
        <w:t xml:space="preserve">services (AWS VPC DHCP options sets, Azure DHCP) each distribute their own</w:t>
      </w:r>
      <w:r>
        <w:t xml:space="preserve"> </w:t>
      </w:r>
      <w:r>
        <w:t xml:space="preserve">option-6 values pointing to their own resolvers. Unifying this across the</w:t>
      </w:r>
      <w:r>
        <w:t xml:space="preserve"> </w:t>
      </w:r>
      <w:r>
        <w:t xml:space="preserve">estate requires pushing consistent option-6 values through all DHCP surfaces</w:t>
      </w:r>
      <w:r>
        <w:t xml:space="preserve"> </w:t>
      </w:r>
      <w:r>
        <w:t xml:space="preserve">— which Infoblox Universal DDI manages through its DHCP policy model.</w:t>
      </w:r>
    </w:p>
    <w:p>
      <w:pPr>
        <w:pStyle w:val="BodyText"/>
      </w:pPr>
      <w:r>
        <w:rPr>
          <w:b/>
          <w:bCs/>
        </w:rPr>
        <w:t xml:space="preserve">DHCP fingerprinting.</w:t>
      </w:r>
      <w:r>
        <w:t xml:space="preserve"> </w:t>
      </w:r>
      <w:r>
        <w:t xml:space="preserve">NIOS analyzes the sequence and content of DHCP</w:t>
      </w:r>
      <w:r>
        <w:t xml:space="preserve"> </w:t>
      </w:r>
      <w:r>
        <w:t xml:space="preserve">options presented by a requesting client to identify the operating system,</w:t>
      </w:r>
      <w:r>
        <w:t xml:space="preserve"> </w:t>
      </w:r>
      <w:r>
        <w:t xml:space="preserve">device type, and vendor class. Windows clients, macOS clients, Linux hosts,</w:t>
      </w:r>
      <w:r>
        <w:t xml:space="preserve"> </w:t>
      </w:r>
      <w:r>
        <w:t xml:space="preserve">Cisco IP phones, printers, and IoT devices each send characteristic option</w:t>
      </w:r>
      <w:r>
        <w:t xml:space="preserve"> </w:t>
      </w:r>
      <w:r>
        <w:t xml:space="preserve">patterns. DHCP fingerprinting enables: (1) policy decisions by device class</w:t>
      </w:r>
      <w:r>
        <w:t xml:space="preserve"> </w:t>
      </w:r>
      <w:r>
        <w:t xml:space="preserve">(different lease times, option sets, VLAN assignments per device type);</w:t>
      </w:r>
      <w:r>
        <w:t xml:space="preserve"> </w:t>
      </w:r>
      <w:r>
        <w:t xml:space="preserve">(2) rogue device detection (a device fingerprinting as a Cisco phone on</w:t>
      </w:r>
      <w:r>
        <w:t xml:space="preserve"> </w:t>
      </w:r>
      <w:r>
        <w:t xml:space="preserve">a workstation VLAN is anomalous); (3) visibility into device population</w:t>
      </w:r>
      <w:r>
        <w:t xml:space="preserve"> </w:t>
      </w:r>
      <w:r>
        <w:t xml:space="preserve">without requiring an MDM enrollment — DHCP fingerprinting is passive.</w:t>
      </w:r>
    </w:p>
    <w:p>
      <w:pPr>
        <w:pStyle w:val="BodyText"/>
      </w:pPr>
      <w:r>
        <w:rPr>
          <w:b/>
          <w:bCs/>
        </w:rPr>
        <w:t xml:space="preserve">DHCP failover and the Grid.</w:t>
      </w:r>
      <w:r>
        <w:t xml:space="preserve"> </w:t>
      </w:r>
      <w:r>
        <w:t xml:space="preserve">NIOS DHCP supports two high-availability</w:t>
      </w:r>
      <w:r>
        <w:t xml:space="preserve"> </w:t>
      </w:r>
      <w:r>
        <w:t xml:space="preserve">modes: (1) DHCP failover pairs — two NIOS members configured as primary</w:t>
      </w:r>
      <w:r>
        <w:t xml:space="preserve"> </w:t>
      </w:r>
      <w:r>
        <w:t xml:space="preserve">and secondary with synchronized lease state; if the primary fails, the</w:t>
      </w:r>
      <w:r>
        <w:t xml:space="preserve"> </w:t>
      </w:r>
      <w:r>
        <w:t xml:space="preserve">secondary takes over without loss of lease continuity; (2) Grid DHCP</w:t>
      </w:r>
      <w:r>
        <w:t xml:space="preserve"> </w:t>
      </w:r>
      <w:r>
        <w:t xml:space="preserve">redundancy — multiple Grid members serve overlapping address ranges with</w:t>
      </w:r>
      <w:r>
        <w:t xml:space="preserve"> </w:t>
      </w:r>
      <w:r>
        <w:t xml:space="preserve">the Grid database as the shared lease store. In a distributed environment,</w:t>
      </w:r>
      <w:r>
        <w:t xml:space="preserve"> </w:t>
      </w:r>
      <w:r>
        <w:t xml:space="preserve">the WAN latency physics described in §7.2 apply to lease synchronization:</w:t>
      </w:r>
      <w:r>
        <w:t xml:space="preserve"> </w:t>
      </w:r>
      <w:r>
        <w:t xml:space="preserve">a DHCP failover pair separated by a WAN with a 50 ms round-trip will have</w:t>
      </w:r>
      <w:r>
        <w:t xml:space="preserve"> </w:t>
      </w:r>
      <w:r>
        <w:t xml:space="preserve">a lease-state propagation latency of at least that magnitude. Infoblox</w:t>
      </w:r>
      <w:r>
        <w:t xml:space="preserve"> </w:t>
      </w:r>
      <w:r>
        <w:t xml:space="preserve">handles this with a split-scope model for sites with unreliable WAN: each</w:t>
      </w:r>
      <w:r>
        <w:t xml:space="preserve"> </w:t>
      </w:r>
      <w:r>
        <w:t xml:space="preserve">site serves a fraction of the total address pool locally, ensuring that a</w:t>
      </w:r>
      <w:r>
        <w:t xml:space="preserve"> </w:t>
      </w:r>
      <w:r>
        <w:t xml:space="preserve">WAN outage does not prevent new device connectivity in either location.</w:t>
      </w:r>
    </w:p>
    <w:p>
      <w:pPr>
        <w:pStyle w:val="BodyText"/>
      </w:pPr>
      <w:r>
        <w:rPr>
          <w:b/>
          <w:bCs/>
        </w:rPr>
        <w:t xml:space="preserve">Dynamic DNS update (DDNS).</w:t>
      </w:r>
      <w:r>
        <w:t xml:space="preserve"> </w:t>
      </w:r>
      <w:r>
        <w:t xml:space="preserve">The most operationally critical integration</w:t>
      </w:r>
      <w:r>
        <w:t xml:space="preserve"> </w:t>
      </w:r>
      <w:r>
        <w:t xml:space="preserve">between DHCP and DNS is the Dynamic DNS update: when a DHCP lease is</w:t>
      </w:r>
      <w:r>
        <w:t xml:space="preserve"> </w:t>
      </w:r>
      <w:r>
        <w:t xml:space="preserve">assigned, NIOS automatically creates an A record and a PTR record for the</w:t>
      </w:r>
      <w:r>
        <w:t xml:space="preserve"> </w:t>
      </w:r>
      <w:r>
        <w:t xml:space="preserve">leased address; when the lease expires or is released, those records are</w:t>
      </w:r>
      <w:r>
        <w:t xml:space="preserve"> </w:t>
      </w:r>
      <w:r>
        <w:t xml:space="preserve">removed. This automation is what keeps DNS accurate in environments where</w:t>
      </w:r>
      <w:r>
        <w:t xml:space="preserve"> </w:t>
      </w:r>
      <w:r>
        <w:t xml:space="preserve">device addresses change. Without DDNS, DNS becomes a stale map of where</w:t>
      </w:r>
      <w:r>
        <w:t xml:space="preserve"> </w:t>
      </w:r>
      <w:r>
        <w:t xml:space="preserve">things used to be. NIOS implements DDNS using two methods: (1) direct</w:t>
      </w:r>
      <w:r>
        <w:t xml:space="preserve"> </w:t>
      </w:r>
      <w:r>
        <w:t xml:space="preserve">internal update — NIOS-as-DHCP updates NIOS-as-DNS directly within the Grid</w:t>
      </w:r>
      <w:r>
        <w:t xml:space="preserve"> </w:t>
      </w:r>
      <w:r>
        <w:t xml:space="preserve">(zero latency, atomic, the default for integrated deployments); (2) RFC 2136</w:t>
      </w:r>
      <w:r>
        <w:t xml:space="preserve"> </w:t>
      </w:r>
      <w:r>
        <w:t xml:space="preserve">dynamic update — NIOS sends a signed DNS UPDATE message to an external DNS</w:t>
      </w:r>
      <w:r>
        <w:t xml:space="preserve"> </w:t>
      </w:r>
      <w:r>
        <w:t xml:space="preserve">server (used when the DNS server is Windows Server DNS or another non-NIOS</w:t>
      </w:r>
      <w:r>
        <w:t xml:space="preserve"> </w:t>
      </w:r>
      <w:r>
        <w:t xml:space="preserve">server). In Universal DDI, cloud-sourced addresses (from AWS VPC IP</w:t>
      </w:r>
      <w:r>
        <w:t xml:space="preserve"> </w:t>
      </w:r>
      <w:r>
        <w:t xml:space="preserve">assignment, Azure NIC allocation, etc.) are also published as DNS records</w:t>
      </w:r>
      <w:r>
        <w:t xml:space="preserve"> </w:t>
      </w:r>
      <w:r>
        <w:t xml:space="preserve">through API integration, extending DDNS semantics to cloud-native workloads.</w:t>
      </w:r>
    </w:p>
    <w:p>
      <w:pPr>
        <w:pStyle w:val="BodyText"/>
      </w:pPr>
      <w:r>
        <w:rPr>
          <w:b/>
          <w:bCs/>
        </w:rPr>
        <w:t xml:space="preserve">DHCP lease analytics and security audit trail.</w:t>
      </w:r>
      <w:r>
        <w:t xml:space="preserve"> </w:t>
      </w:r>
      <w:r>
        <w:t xml:space="preserve">Every DHCP lease event —</w:t>
      </w:r>
      <w:r>
        <w:t xml:space="preserve"> </w:t>
      </w:r>
      <w:r>
        <w:t xml:space="preserve">assignment, renewal, expiry, release, decline — is logged with timestamp,</w:t>
      </w:r>
      <w:r>
        <w:t xml:space="preserve"> </w:t>
      </w:r>
      <w:r>
        <w:t xml:space="preserve">client MAC address, hostname, leased address, and option fingerprint. This</w:t>
      </w:r>
      <w:r>
        <w:t xml:space="preserve"> </w:t>
      </w:r>
      <w:r>
        <w:t xml:space="preserve">log is the primary mechanism for answering the question</w:t>
      </w:r>
      <w:r>
        <w:t xml:space="preserve"> </w:t>
      </w:r>
      <w:r>
        <w:t xml:space="preserve">“what device had</w:t>
      </w:r>
      <w:r>
        <w:t xml:space="preserve"> </w:t>
      </w:r>
      <w:r>
        <w:t xml:space="preserve">IP address X at time T?”</w:t>
      </w:r>
      <w:r>
        <w:t xml:space="preserve"> </w:t>
      </w:r>
      <w:r>
        <w:t xml:space="preserve">— a question that arises constantly in security</w:t>
      </w:r>
      <w:r>
        <w:t xml:space="preserve"> </w:t>
      </w:r>
      <w:r>
        <w:t xml:space="preserve">investigations. In a per-CSP model, DHCP logs are scattered across AWS VPC</w:t>
      </w:r>
      <w:r>
        <w:t xml:space="preserve"> </w:t>
      </w:r>
      <w:r>
        <w:t xml:space="preserve">flow logs, Azure DHCP diagnostics, NIOS syslog, and Windows DHCP event logs,</w:t>
      </w:r>
      <w:r>
        <w:t xml:space="preserve"> </w:t>
      </w:r>
      <w:r>
        <w:t xml:space="preserve">each in a different format with a different retention policy. In Universal DDI,</w:t>
      </w:r>
      <w:r>
        <w:t xml:space="preserve"> </w:t>
      </w:r>
      <w:r>
        <w:t xml:space="preserve">the lease history is in one place, queryable with a unified interface, and</w:t>
      </w:r>
      <w:r>
        <w:t xml:space="preserve"> </w:t>
      </w:r>
      <w:r>
        <w:t xml:space="preserve">available to SIEM integrations through a consistent API.</w:t>
      </w:r>
    </w:p>
    <w:p>
      <w:pPr>
        <w:pStyle w:val="BodyText"/>
      </w:pPr>
      <w:r>
        <w:rPr>
          <w:b/>
          <w:bCs/>
        </w:rPr>
        <w:t xml:space="preserve">DHCP for IPv6.</w:t>
      </w:r>
      <w:r>
        <w:t xml:space="preserve"> </w:t>
      </w:r>
      <w:r>
        <w:t xml:space="preserve">DHCPv6 (RFC 8415, which obsoletes RFC 3315 and RFC 3633) carries the same governance surface</w:t>
      </w:r>
      <w:r>
        <w:t xml:space="preserve"> </w:t>
      </w:r>
      <w:r>
        <w:t xml:space="preserve">as DHCPv4 with additional complexity from stateless address autoconfiguration</w:t>
      </w:r>
      <w:r>
        <w:t xml:space="preserve"> </w:t>
      </w:r>
      <w:r>
        <w:t xml:space="preserve">(SLAAC). In a dual-stack federal environment, NIOS manages both DHCPv4</w:t>
      </w:r>
      <w:r>
        <w:t xml:space="preserve"> </w:t>
      </w:r>
      <w:r>
        <w:t xml:space="preserve">scopes and DHCPv6 prefix delegation, and DDNS creates both A and AAAA</w:t>
      </w:r>
      <w:r>
        <w:t xml:space="preserve"> </w:t>
      </w:r>
      <w:r>
        <w:t xml:space="preserve">records on lease assignment. OMB M-21-07 requires IPv6 in federal</w:t>
      </w:r>
      <w:r>
        <w:t xml:space="preserve"> </w:t>
      </w:r>
      <w:r>
        <w:t xml:space="preserve">environments; DHCP governance for IPv6 is frequently the unfinished half</w:t>
      </w:r>
      <w:r>
        <w:t xml:space="preserve"> </w:t>
      </w:r>
      <w:r>
        <w:t xml:space="preserve">of compliance programs that have addressed IPv4.</w:t>
      </w:r>
    </w:p>
    <w:p>
      <w:pPr>
        <w:pStyle w:val="BodyText"/>
      </w:pPr>
      <w:r>
        <w:rPr>
          <w:b/>
          <w:bCs/>
        </w:rPr>
        <w:t xml:space="preserve">DHCP in cloud environments.</w:t>
      </w:r>
      <w:r>
        <w:t xml:space="preserve"> </w:t>
      </w:r>
      <w:r>
        <w:t xml:space="preserve">AWS VPCs, Azure VNets, and GCP VPCs each</w:t>
      </w:r>
      <w:r>
        <w:t xml:space="preserve"> </w:t>
      </w:r>
      <w:r>
        <w:t xml:space="preserve">run their own DHCP services that cannot be replaced by an external DHCP server.</w:t>
      </w:r>
      <w:r>
        <w:t xml:space="preserve"> </w:t>
      </w:r>
      <w:r>
        <w:t xml:space="preserve">Infoblox’s integration approach for cloud DHCP is not to replace the per-CSP</w:t>
      </w:r>
      <w:r>
        <w:t xml:space="preserve"> </w:t>
      </w:r>
      <w:r>
        <w:t xml:space="preserve">DHCP service but to: (1) ingest cloud DHCP lease events via API, publishing</w:t>
      </w:r>
      <w:r>
        <w:t xml:space="preserve"> </w:t>
      </w:r>
      <w:r>
        <w:t xml:space="preserve">them into the IPAM model; (2) push DHCP option values (including option 6</w:t>
      </w:r>
      <w:r>
        <w:t xml:space="preserve"> </w:t>
      </w:r>
      <w:r>
        <w:t xml:space="preserve">DNS server addresses) through each CSP’s DHCP options mechanism (AWS DHCP</w:t>
      </w:r>
      <w:r>
        <w:t xml:space="preserve"> </w:t>
      </w:r>
      <w:r>
        <w:t xml:space="preserve">Option Sets, Azure custom DNS server configuration, GCP DNS server policy),</w:t>
      </w:r>
      <w:r>
        <w:t xml:space="preserve"> </w:t>
      </w:r>
      <w:r>
        <w:t xml:space="preserve">ensuring clients in cloud environments receive the same resolver addresses</w:t>
      </w:r>
      <w:r>
        <w:t xml:space="preserve"> </w:t>
      </w:r>
      <w:r>
        <w:t xml:space="preserve">as on-premises clients; (3) track cloud-native IP allocations in IPAM,</w:t>
      </w:r>
      <w:r>
        <w:t xml:space="preserve"> </w:t>
      </w:r>
      <w:r>
        <w:t xml:space="preserve">providing a unified address map across the hybrid estate.</w:t>
      </w:r>
    </w:p>
    <w:bookmarkEnd w:id="58"/>
    <w:bookmarkStart w:id="60" w:name="Xade881c638fb73c356ce0dfe0f4c63a48aa6d96"/>
    <w:p>
      <w:pPr>
        <w:pStyle w:val="Heading3"/>
      </w:pPr>
      <w:r>
        <w:t xml:space="preserve">7.4 Universal DDI (formerly BloxOne DDI): the SaaS management plane</w:t>
      </w:r>
    </w:p>
    <w:p>
      <w:pPr>
        <w:pStyle w:val="FirstParagraph"/>
      </w:pPr>
      <w:r>
        <w:t xml:space="preserve">Universal DDI — Infoblox’s current name for the SaaS-delivered DDI platform</w:t>
      </w:r>
      <w:r>
        <w:t xml:space="preserve"> </w:t>
      </w:r>
      <w:r>
        <w:t xml:space="preserve">formerly marketed as BloxOne DDI — is delivered through lightweight software</w:t>
      </w:r>
      <w:r>
        <w:t xml:space="preserve"> </w:t>
      </w:r>
      <w:r>
        <w:t xml:space="preserve">agents (formerly BloxOne Endpoints) deployed on-premises or in cloud</w:t>
      </w:r>
      <w:r>
        <w:t xml:space="preserve"> </w:t>
      </w:r>
      <w:r>
        <w:t xml:space="preserve">environments; they phone home to the SaaS plane, which provides centralized</w:t>
      </w:r>
      <w:r>
        <w:t xml:space="preserve"> </w:t>
      </w:r>
      <w:r>
        <w:t xml:space="preserve">management, policy enforcement, and analytics across all endpoints. Older</w:t>
      </w:r>
      <w:r>
        <w:t xml:space="preserve"> </w:t>
      </w:r>
      <w:r>
        <w:t xml:space="preserve">Infoblox documentation and licensing SKUs still use the BloxOne name for the</w:t>
      </w:r>
      <w:r>
        <w:t xml:space="preserve"> </w:t>
      </w:r>
      <w:r>
        <w:t xml:space="preserve">same components.</w:t>
      </w:r>
    </w:p>
    <w:p>
      <w:pPr>
        <w:pStyle w:val="BodyText"/>
      </w:pPr>
      <w:r>
        <w:t xml:space="preserve">Universal DDI is the management layer that spans both NIOS (on-premises)</w:t>
      </w:r>
      <w:r>
        <w:t xml:space="preserve"> </w:t>
      </w:r>
      <w:r>
        <w:t xml:space="preserve">and the SaaS-delivered deployments (the former BloxOne class), together</w:t>
      </w:r>
      <w:r>
        <w:t xml:space="preserve"> </w:t>
      </w:r>
      <w:r>
        <w:t xml:space="preserve">with native integrations into</w:t>
      </w:r>
      <w:r>
        <w:t xml:space="preserve"> </w:t>
      </w:r>
      <w:r>
        <w:t xml:space="preserve">per-CSP DNS services. As of the November 2025 / January 2026 feature</w:t>
      </w:r>
      <w:r>
        <w:t xml:space="preserve"> </w:t>
      </w:r>
      <w:r>
        <w:t xml:space="preserve">release, Universal DDI manages: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Surface</w:t>
            </w:r>
          </w:p>
        </w:tc>
        <w:tc>
          <w:tcPr/>
          <w:p>
            <w:pPr>
              <w:pStyle w:val="Compact"/>
            </w:pPr>
            <w:r>
              <w:t xml:space="preserve">Integration type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Infoblox NIOS (on-premises)</w:t>
            </w:r>
          </w:p>
        </w:tc>
        <w:tc>
          <w:tcPr/>
          <w:p>
            <w:pPr>
              <w:pStyle w:val="Compact"/>
            </w:pPr>
            <w:r>
              <w:t xml:space="preserve">Native Grid management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Infoblox NIOS-X</w:t>
            </w:r>
          </w:p>
        </w:tc>
        <w:tc>
          <w:tcPr/>
          <w:p>
            <w:pPr>
              <w:pStyle w:val="Compact"/>
            </w:pPr>
            <w:r>
              <w:t xml:space="preserve">Native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Microsoft Windows Server DNS</w:t>
            </w:r>
          </w:p>
        </w:tc>
        <w:tc>
          <w:tcPr/>
          <w:p>
            <w:pPr>
              <w:pStyle w:val="Compact"/>
            </w:pPr>
            <w:r>
              <w:t xml:space="preserve">Agent-based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Amazon Route 53</w:t>
            </w:r>
          </w:p>
        </w:tc>
        <w:tc>
          <w:tcPr/>
          <w:p>
            <w:pPr>
              <w:pStyle w:val="Compact"/>
            </w:pPr>
            <w:r>
              <w:t xml:space="preserve">API integration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Microsoft Azure DNS</w:t>
            </w:r>
          </w:p>
        </w:tc>
        <w:tc>
          <w:tcPr/>
          <w:p>
            <w:pPr>
              <w:pStyle w:val="Compact"/>
            </w:pPr>
            <w:r>
              <w:t xml:space="preserve">API integration (</w:t>
            </w:r>
            <w:hyperlink r:id="rId59">
              <w:r>
                <w:rPr>
                  <w:rStyle w:val="Hyperlink"/>
                </w:rPr>
                <w:t xml:space="preserve">noted limitations</w:t>
              </w:r>
            </w:hyperlink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Google Cloud DNS</w:t>
            </w:r>
          </w:p>
        </w:tc>
        <w:tc>
          <w:tcPr/>
          <w:p>
            <w:pPr>
              <w:pStyle w:val="Compact"/>
            </w:pPr>
            <w:r>
              <w:t xml:space="preserve">API integration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Cloudflare DNS</w:t>
            </w:r>
          </w:p>
        </w:tc>
        <w:tc>
          <w:tcPr/>
          <w:p>
            <w:pPr>
              <w:pStyle w:val="Compact"/>
            </w:pPr>
            <w:r>
              <w:t xml:space="preserve">API integration (added late 2025)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Akamai DNS</w:t>
            </w:r>
          </w:p>
        </w:tc>
        <w:tc>
          <w:tcPr/>
          <w:p>
            <w:pPr>
              <w:pStyle w:val="Compact"/>
            </w:pPr>
            <w:r>
              <w:t xml:space="preserve">API integration (added late 2025)</w:t>
            </w:r>
          </w:p>
        </w:tc>
      </w:tr>
    </w:tbl>
    <w:p>
      <w:pPr>
        <w:pStyle w:val="BodyText"/>
      </w:pPr>
      <w:r>
        <w:t xml:space="preserve">The April 2026 release extended the suite further: an early-access</w:t>
      </w:r>
      <w:r>
        <w:t xml:space="preserve"> </w:t>
      </w:r>
      <w:r>
        <w:t xml:space="preserve">Universal DDI Management program, DDI integration for SASE, secondary-zone</w:t>
      </w:r>
      <w:r>
        <w:t xml:space="preserve"> </w:t>
      </w:r>
      <w:r>
        <w:t xml:space="preserve">visibility for Microsoft DNS servers, DHCP split ranges, host-object sync,</w:t>
      </w:r>
      <w:r>
        <w:t xml:space="preserve"> </w:t>
      </w:r>
      <w:r>
        <w:t xml:space="preserve">and NIOS-X support on the Trinzic X6 appliance — the management-plane</w:t>
      </w:r>
      <w:r>
        <w:t xml:space="preserve"> </w:t>
      </w:r>
      <w:r>
        <w:t xml:space="preserve">consolidation trajectory this part describes is accelerating, not</w:t>
      </w:r>
      <w:r>
        <w:t xml:space="preserve"> </w:t>
      </w:r>
      <w:r>
        <w:t xml:space="preserve">stabilizing.</w:t>
      </w:r>
    </w:p>
    <w:p>
      <w:pPr>
        <w:pStyle w:val="BodyText"/>
      </w:pPr>
      <w:r>
        <w:t xml:space="preserve">The integration model is overlay management: Universal DDI does not replace</w:t>
      </w:r>
      <w:r>
        <w:t xml:space="preserve"> </w:t>
      </w:r>
      <w:r>
        <w:t xml:space="preserve">per-CSP DNS services. Route 53 still serves Route 53 zones; Azure Private DNS</w:t>
      </w:r>
      <w:r>
        <w:t xml:space="preserve"> </w:t>
      </w:r>
      <w:r>
        <w:t xml:space="preserve">still serves Azure private zones. What Universal DDI provides is a single</w:t>
      </w:r>
      <w:r>
        <w:t xml:space="preserve"> </w:t>
      </w:r>
      <w:r>
        <w:t xml:space="preserve">policy object that is propagated to all managed surfaces simultaneously, and</w:t>
      </w:r>
      <w:r>
        <w:t xml:space="preserve"> </w:t>
      </w:r>
      <w:r>
        <w:t xml:space="preserve">a single console where the state of all surfaces is visible.</w:t>
      </w:r>
    </w:p>
    <w:p>
      <w:pPr>
        <w:pStyle w:val="BodyText"/>
      </w:pPr>
      <w:r>
        <w:rPr>
          <w:b/>
          <w:bCs/>
        </w:rPr>
        <w:t xml:space="preserve">BloxOne Endpoint</w:t>
      </w:r>
      <w:r>
        <w:t xml:space="preserve"> </w:t>
      </w:r>
      <w:r>
        <w:t xml:space="preserve">is the lightweight agent component of BloxOne DDI.</w:t>
      </w:r>
      <w:r>
        <w:t xml:space="preserve"> </w:t>
      </w:r>
      <w:r>
        <w:t xml:space="preserve">Installed on endpoints — physical workstations, cloud instances, remote</w:t>
      </w:r>
      <w:r>
        <w:t xml:space="preserve"> </w:t>
      </w:r>
      <w:r>
        <w:t xml:space="preserve">workers’ laptops — BloxOne Endpoint intercepts all DNS queries from the</w:t>
      </w:r>
      <w:r>
        <w:t xml:space="preserve"> </w:t>
      </w:r>
      <w:r>
        <w:t xml:space="preserve">device, applies local policy (RPZ, threat feeds), and forwards to the</w:t>
      </w:r>
      <w:r>
        <w:t xml:space="preserve"> </w:t>
      </w:r>
      <w:r>
        <w:t xml:space="preserve">BloxOne SaaS plane for analytics. This is significant in a zero trust</w:t>
      </w:r>
      <w:r>
        <w:t xml:space="preserve"> </w:t>
      </w:r>
      <w:r>
        <w:t xml:space="preserve">context: it extends DNS policy enforcement to the endpoint, ensuring that</w:t>
      </w:r>
      <w:r>
        <w:t xml:space="preserve"> </w:t>
      </w:r>
      <w:r>
        <w:t xml:space="preserve">a device that has bypassed the corporate resolver (because it is on a</w:t>
      </w:r>
      <w:r>
        <w:t xml:space="preserve"> </w:t>
      </w:r>
      <w:r>
        <w:t xml:space="preserve">hotel Wi-Fi network, for example) still receives threat protection and</w:t>
      </w:r>
      <w:r>
        <w:t xml:space="preserve"> </w:t>
      </w:r>
      <w:r>
        <w:t xml:space="preserve">still has its queries logged centrally. Endpoint-level DNS enforcement</w:t>
      </w:r>
      <w:r>
        <w:t xml:space="preserve"> </w:t>
      </w:r>
      <w:r>
        <w:t xml:space="preserve">closes the largest gap in resolver-based DNS security: the user who is</w:t>
      </w:r>
      <w:r>
        <w:t xml:space="preserve"> </w:t>
      </w:r>
      <w:r>
        <w:t xml:space="preserve">not on the corporate network.</w:t>
      </w:r>
    </w:p>
    <w:p>
      <w:pPr>
        <w:pStyle w:val="BodyText"/>
      </w:pPr>
      <w:r>
        <w:rPr>
          <w:b/>
          <w:bCs/>
        </w:rPr>
        <w:t xml:space="preserve">Cloud Services Portal (CSP)</w:t>
      </w:r>
      <w:r>
        <w:t xml:space="preserve"> </w:t>
      </w:r>
      <w:r>
        <w:t xml:space="preserve">is the web console for all BloxOne services.</w:t>
      </w:r>
      <w:r>
        <w:t xml:space="preserve"> </w:t>
      </w:r>
      <w:r>
        <w:t xml:space="preserve">It provides a single pane of glass across Universal DDI (the renamed</w:t>
      </w:r>
      <w:r>
        <w:t xml:space="preserve"> </w:t>
      </w:r>
      <w:r>
        <w:t xml:space="preserve">BloxOne DDI), BloxOne Threat Defense, and the per-CSP overlay</w:t>
      </w:r>
      <w:r>
        <w:t xml:space="preserve"> </w:t>
      </w:r>
      <w:r>
        <w:t xml:space="preserve">integrations. Role-based access control in the</w:t>
      </w:r>
      <w:r>
        <w:t xml:space="preserve"> </w:t>
      </w:r>
      <w:r>
        <w:t xml:space="preserve">CSP can be scoped to specific services, regions, or object types, enabling</w:t>
      </w:r>
      <w:r>
        <w:t xml:space="preserve"> </w:t>
      </w:r>
      <w:r>
        <w:t xml:space="preserve">delegation models appropriate for large agencies where different teams own</w:t>
      </w:r>
      <w:r>
        <w:t xml:space="preserve"> </w:t>
      </w:r>
      <w:r>
        <w:t xml:space="preserve">different parts of the address space.</w:t>
      </w:r>
    </w:p>
    <w:bookmarkEnd w:id="60"/>
    <w:bookmarkStart w:id="62" w:name="Xdd4ebafc2f1e339248af409659560149d7ad42d"/>
    <w:p>
      <w:pPr>
        <w:pStyle w:val="Heading3"/>
      </w:pPr>
      <w:r>
        <w:t xml:space="preserve">7.5 Infoblox platform services: ecosystem, automation, and discovery</w:t>
      </w:r>
    </w:p>
    <w:p>
      <w:pPr>
        <w:pStyle w:val="FirstParagraph"/>
      </w:pPr>
      <w:r>
        <w:t xml:space="preserve">Beyond DDI core and BloxOne, the Infoblox platform integrates with the</w:t>
      </w:r>
      <w:r>
        <w:t xml:space="preserve"> </w:t>
      </w:r>
      <w:r>
        <w:t xml:space="preserve">broader security and IT-operations ecosystem: REST/WAPI and CSP APIs (with</w:t>
      </w:r>
      <w:r>
        <w:t xml:space="preserve"> </w:t>
      </w:r>
      <w:r>
        <w:t xml:space="preserve">official Terraform and Ansible support) make IPAM, DNS, and DHCP</w:t>
      </w:r>
      <w:r>
        <w:t xml:space="preserve"> </w:t>
      </w:r>
      <w:r>
        <w:t xml:space="preserve">scriptable and composable with infrastructure-as-code workflows; Network</w:t>
      </w:r>
      <w:r>
        <w:t xml:space="preserve"> </w:t>
      </w:r>
      <w:r>
        <w:t xml:space="preserve">Insight performs active and passive device discovery and rogue-DHCP</w:t>
      </w:r>
      <w:r>
        <w:t xml:space="preserve"> </w:t>
      </w:r>
      <w:r>
        <w:t xml:space="preserve">detection; a catalog of pre-built Ecosystem Exchange integrations connects</w:t>
      </w:r>
      <w:r>
        <w:t xml:space="preserve"> </w:t>
      </w:r>
      <w:r>
        <w:t xml:space="preserve">Infoblox to Splunk, ServiceNow, Palo Alto Networks NGFW, CrowdStrike</w:t>
      </w:r>
      <w:r>
        <w:t xml:space="preserve"> </w:t>
      </w:r>
      <w:r>
        <w:t xml:space="preserve">Falcon, Cisco ISE, Microsoft Sentinel, and Qualys/Tenable — letting DNS’s</w:t>
      </w:r>
      <w:r>
        <w:t xml:space="preserve"> </w:t>
      </w:r>
      <w:r>
        <w:t xml:space="preserve">early-warning signal reach SIEM, SOAR, and EDR workflows before a</w:t>
      </w:r>
      <w:r>
        <w:t xml:space="preserve"> </w:t>
      </w:r>
      <w:r>
        <w:t xml:space="preserve">malicious connection is ever established; and Grid/BloxOne audit trail</w:t>
      </w:r>
      <w:r>
        <w:t xml:space="preserve"> </w:t>
      </w:r>
      <w:r>
        <w:t xml:space="preserve">with change-control approval workflows maps directly to NIST SP 800-53 CM</w:t>
      </w:r>
      <w:r>
        <w:t xml:space="preserve"> </w:t>
      </w:r>
      <w:r>
        <w:t xml:space="preserve">controls. This material — including the full partner-by-partner</w:t>
      </w:r>
      <w:r>
        <w:t xml:space="preserve"> </w:t>
      </w:r>
      <w:r>
        <w:t xml:space="preserve">ecosystem-integration table — has been moved into its own reference</w:t>
      </w:r>
      <w:r>
        <w:t xml:space="preserve"> </w:t>
      </w:r>
      <w:r>
        <w:t xml:space="preserve">document so it can be bookmarked independently of this paper’s argument.</w:t>
      </w:r>
    </w:p>
    <w:p>
      <w:pPr>
        <w:pStyle w:val="BodyText"/>
      </w:pPr>
      <w:r>
        <w:t xml:space="preserve">For the full ecosystem-integration table, see</w:t>
      </w:r>
      <w:r>
        <w:t xml:space="preserve"> </w:t>
      </w:r>
      <w:hyperlink r:id="rId61">
        <w:r>
          <w:rPr>
            <w:rStyle w:val="Hyperlink"/>
          </w:rPr>
          <w:t xml:space="preserve">DNS Record Types and Universal DDI Ecosystem Integrations — Reference Companion</w:t>
        </w:r>
      </w:hyperlink>
      <w:r>
        <w:t xml:space="preserve">.</w:t>
      </w:r>
    </w:p>
    <w:bookmarkEnd w:id="62"/>
    <w:bookmarkStart w:id="63" w:name="Xc60e19d3cce724d802ef29bdf3d501553e5b245"/>
    <w:p>
      <w:pPr>
        <w:pStyle w:val="Heading3"/>
      </w:pPr>
      <w:r>
        <w:t xml:space="preserve">7.6 BloxOne Threat Defense: DNS as the security enforcement plane</w:t>
      </w:r>
    </w:p>
    <w:p>
      <w:pPr>
        <w:pStyle w:val="FirstParagraph"/>
      </w:pPr>
      <w:r>
        <w:t xml:space="preserve">BloxOne Threat Defense is Infoblox’s DNS security service. Its core function</w:t>
      </w:r>
      <w:r>
        <w:t xml:space="preserve"> </w:t>
      </w:r>
      <w:r>
        <w:t xml:space="preserve">is using DNS as the earliest point of detection in the kill chain —</w:t>
      </w:r>
      <w:r>
        <w:t xml:space="preserve"> </w:t>
      </w:r>
      <w:r>
        <w:t xml:space="preserve">intercepting malicious activity before network connections are established,</w:t>
      </w:r>
      <w:r>
        <w:t xml:space="preserve"> </w:t>
      </w:r>
      <w:r>
        <w:t xml:space="preserve">before file downloads occur, before exploits are executed.</w:t>
      </w:r>
    </w:p>
    <w:p>
      <w:pPr>
        <w:pStyle w:val="BodyText"/>
      </w:pPr>
      <w:r>
        <w:rPr>
          <w:b/>
          <w:bCs/>
        </w:rPr>
        <w:t xml:space="preserve">Threat Intelligence Data Exchange (TIDE).</w:t>
      </w:r>
      <w:r>
        <w:t xml:space="preserve"> </w:t>
      </w:r>
      <w:r>
        <w:t xml:space="preserve">TIDE is Infoblox’s threat</w:t>
      </w:r>
      <w:r>
        <w:t xml:space="preserve"> </w:t>
      </w:r>
      <w:r>
        <w:t xml:space="preserve">intelligence platform. It aggregates indicators of compromise (IoCs) from</w:t>
      </w:r>
      <w:r>
        <w:t xml:space="preserve"> </w:t>
      </w:r>
      <w:r>
        <w:t xml:space="preserve">multiple sources — Infoblox’s own research team, commercial threat feeds,</w:t>
      </w:r>
      <w:r>
        <w:t xml:space="preserve"> </w:t>
      </w:r>
      <w:r>
        <w:t xml:space="preserve">open-source threat intelligence, and customer-contributed data — and</w:t>
      </w:r>
      <w:r>
        <w:t xml:space="preserve"> </w:t>
      </w:r>
      <w:r>
        <w:t xml:space="preserve">normalizes them into a searchable, API-accessible data set. TIDE feeds</w:t>
      </w:r>
      <w:r>
        <w:t xml:space="preserve"> </w:t>
      </w:r>
      <w:r>
        <w:t xml:space="preserve">are automatically ingested into BloxOne Threat Defense RPZ rules and into</w:t>
      </w:r>
      <w:r>
        <w:t xml:space="preserve"> </w:t>
      </w:r>
      <w:r>
        <w:t xml:space="preserve">Infoblox NIOS RPZ configurations. Federal agencies with their own threat</w:t>
      </w:r>
      <w:r>
        <w:t xml:space="preserve"> </w:t>
      </w:r>
      <w:r>
        <w:t xml:space="preserve">intelligence feeds can contribute to TIDE and receive enriched, deduplicated</w:t>
      </w:r>
      <w:r>
        <w:t xml:space="preserve"> </w:t>
      </w:r>
      <w:r>
        <w:t xml:space="preserve">intelligence back — turning DNS telemetry into a bidirectional threat</w:t>
      </w:r>
      <w:r>
        <w:t xml:space="preserve"> </w:t>
      </w:r>
      <w:r>
        <w:t xml:space="preserve">intelligence loop.</w:t>
      </w:r>
    </w:p>
    <w:p>
      <w:pPr>
        <w:pStyle w:val="BodyText"/>
      </w:pPr>
      <w:r>
        <w:rPr>
          <w:b/>
          <w:bCs/>
        </w:rPr>
        <w:t xml:space="preserve">DNS tunneling detection.</w:t>
      </w:r>
      <w:r>
        <w:t xml:space="preserve"> </w:t>
      </w:r>
      <w:r>
        <w:t xml:space="preserve">DNS tunneling encodes data in DNS query and</w:t>
      </w:r>
      <w:r>
        <w:t xml:space="preserve"> </w:t>
      </w:r>
      <w:r>
        <w:t xml:space="preserve">response labels, allowing an attacker to exfiltrate data through a corporate</w:t>
      </w:r>
      <w:r>
        <w:t xml:space="preserve"> </w:t>
      </w:r>
      <w:r>
        <w:t xml:space="preserve">DNS resolver that allows external queries. Detection is based on multiple</w:t>
      </w:r>
      <w:r>
        <w:t xml:space="preserve"> </w:t>
      </w:r>
      <w:r>
        <w:t xml:space="preserve">signals: unusually long query labels (a tunneling query might encode</w:t>
      </w:r>
      <w:r>
        <w:t xml:space="preserve"> </w:t>
      </w:r>
      <w:r>
        <w:rPr>
          <w:rStyle w:val="VerbatimChar"/>
        </w:rPr>
        <w:t xml:space="preserve">aGVsbG8gd29ybGQ=.exfil.attacker.com</w:t>
      </w:r>
      <w:r>
        <w:t xml:space="preserve">, where the first label is</w:t>
      </w:r>
      <w:r>
        <w:t xml:space="preserve"> </w:t>
      </w:r>
      <w:r>
        <w:t xml:space="preserve">base64-encoded exfiltrated data), high query frequency to a single domain,</w:t>
      </w:r>
      <w:r>
        <w:t xml:space="preserve"> </w:t>
      </w:r>
      <w:r>
        <w:t xml:space="preserve">high entropy in query labels, and the use of uncommon record types (TXT,</w:t>
      </w:r>
      <w:r>
        <w:t xml:space="preserve"> </w:t>
      </w:r>
      <w:r>
        <w:t xml:space="preserve">NULL) that are not typical of normal application traffic. BloxOne Threat</w:t>
      </w:r>
      <w:r>
        <w:t xml:space="preserve"> </w:t>
      </w:r>
      <w:r>
        <w:t xml:space="preserve">Defense classifies tunneling traffic with a confidence score and can</w:t>
      </w:r>
      <w:r>
        <w:t xml:space="preserve"> </w:t>
      </w:r>
      <w:r>
        <w:t xml:space="preserve">automatically block, alert, or redirect traffic matching tunnel signatures.</w:t>
      </w:r>
    </w:p>
    <w:p>
      <w:pPr>
        <w:pStyle w:val="BodyText"/>
      </w:pPr>
      <w:r>
        <w:rPr>
          <w:b/>
          <w:bCs/>
        </w:rPr>
        <w:t xml:space="preserve">Domain Generation Algorithm (DGA) detection.</w:t>
      </w:r>
      <w:r>
        <w:t xml:space="preserve"> </w:t>
      </w:r>
      <w:r>
        <w:t xml:space="preserve">Malware families that use</w:t>
      </w:r>
      <w:r>
        <w:t xml:space="preserve"> </w:t>
      </w:r>
      <w:r>
        <w:t xml:space="preserve">DGA generate thousands of algorithmically created domain names, querying</w:t>
      </w:r>
      <w:r>
        <w:t xml:space="preserve"> </w:t>
      </w:r>
      <w:r>
        <w:t xml:space="preserve">each one hoping that the attacker has registered one of them as the current</w:t>
      </w:r>
      <w:r>
        <w:t xml:space="preserve"> </w:t>
      </w:r>
      <w:r>
        <w:t xml:space="preserve">C2 endpoint. DGA domains have characteristic statistical properties —</w:t>
      </w:r>
      <w:r>
        <w:t xml:space="preserve"> </w:t>
      </w:r>
      <w:r>
        <w:t xml:space="preserve">high entropy, consonant clusters, lengths inconsistent with human-readable</w:t>
      </w:r>
      <w:r>
        <w:t xml:space="preserve"> </w:t>
      </w:r>
      <w:r>
        <w:t xml:space="preserve">names. BloxOne Threat Defense applies machine learning models trained on</w:t>
      </w:r>
      <w:r>
        <w:t xml:space="preserve"> </w:t>
      </w:r>
      <w:r>
        <w:t xml:space="preserve">known DGA families to classify new queries and flag DGA activity before the</w:t>
      </w:r>
      <w:r>
        <w:t xml:space="preserve"> </w:t>
      </w:r>
      <w:r>
        <w:t xml:space="preserve">C2 connection is established.</w:t>
      </w:r>
    </w:p>
    <w:p>
      <w:pPr>
        <w:pStyle w:val="BodyText"/>
      </w:pPr>
      <w:r>
        <w:rPr>
          <w:b/>
          <w:bCs/>
        </w:rPr>
        <w:t xml:space="preserve">Lookalike domain detection.</w:t>
      </w:r>
      <w:r>
        <w:t xml:space="preserve"> </w:t>
      </w:r>
      <w:r>
        <w:t xml:space="preserve">Attackers register domains that are</w:t>
      </w:r>
      <w:r>
        <w:t xml:space="preserve"> </w:t>
      </w:r>
      <w:r>
        <w:t xml:space="preserve">visually similar to legitimate targets —</w:t>
      </w:r>
      <w:r>
        <w:t xml:space="preserve"> </w:t>
      </w:r>
      <w:r>
        <w:rPr>
          <w:rStyle w:val="VerbatimChar"/>
        </w:rPr>
        <w:t xml:space="preserve">rnyagency.gov</w:t>
      </w:r>
      <w:r>
        <w:t xml:space="preserve"> </w:t>
      </w:r>
      <w:r>
        <w:t xml:space="preserve">(r+n reads as m),</w:t>
      </w:r>
      <w:r>
        <w:t xml:space="preserve"> </w:t>
      </w:r>
      <w:r>
        <w:rPr>
          <w:rStyle w:val="VerbatimChar"/>
        </w:rPr>
        <w:t xml:space="preserve">agency-gov.com</w:t>
      </w:r>
      <w:r>
        <w:t xml:space="preserve">,</w:t>
      </w:r>
      <w:r>
        <w:t xml:space="preserve"> </w:t>
      </w:r>
      <w:r>
        <w:rPr>
          <w:rStyle w:val="VerbatimChar"/>
        </w:rPr>
        <w:t xml:space="preserve">агеncy.gov</w:t>
      </w:r>
      <w:r>
        <w:t xml:space="preserve"> </w:t>
      </w:r>
      <w:r>
        <w:t xml:space="preserve">(Cyrillic а). BloxOne Threat Defense</w:t>
      </w:r>
      <w:r>
        <w:t xml:space="preserve"> </w:t>
      </w:r>
      <w:r>
        <w:t xml:space="preserve">maintains a lookalike detection model seeded with the agency’s authoritative</w:t>
      </w:r>
      <w:r>
        <w:t xml:space="preserve"> </w:t>
      </w:r>
      <w:r>
        <w:t xml:space="preserve">domain list and flags queries to known-lookalike domains as phishing</w:t>
      </w:r>
      <w:r>
        <w:t xml:space="preserve"> </w:t>
      </w:r>
      <w:r>
        <w:t xml:space="preserve">preparation indicators.</w:t>
      </w:r>
    </w:p>
    <w:p>
      <w:pPr>
        <w:pStyle w:val="BodyText"/>
      </w:pPr>
      <w:r>
        <w:rPr>
          <w:b/>
          <w:bCs/>
        </w:rPr>
        <w:t xml:space="preserve">SOC Insights.</w:t>
      </w:r>
      <w:r>
        <w:t xml:space="preserve"> </w:t>
      </w:r>
      <w:r>
        <w:t xml:space="preserve">SOC Insights is an AI-driven prioritization layer within</w:t>
      </w:r>
      <w:r>
        <w:t xml:space="preserve"> </w:t>
      </w:r>
      <w:r>
        <w:t xml:space="preserve">BloxOne Threat Defense. It aggregates DNS threat events across the estate,</w:t>
      </w:r>
      <w:r>
        <w:t xml:space="preserve"> </w:t>
      </w:r>
      <w:r>
        <w:t xml:space="preserve">correlates them with DHCP lease data (identifying the specific endpoint</w:t>
      </w:r>
      <w:r>
        <w:t xml:space="preserve"> </w:t>
      </w:r>
      <w:r>
        <w:t xml:space="preserve">and user behind each suspicious query), and presents a ranked list of</w:t>
      </w:r>
      <w:r>
        <w:t xml:space="preserve"> </w:t>
      </w:r>
      <w:r>
        <w:t xml:space="preserve">security events requiring investigation. The correlation between DNS signals</w:t>
      </w:r>
      <w:r>
        <w:t xml:space="preserve"> </w:t>
      </w:r>
      <w:r>
        <w:t xml:space="preserve">and DHCP history is what allows</w:t>
      </w:r>
      <w:r>
        <w:t xml:space="preserve"> </w:t>
      </w:r>
      <w:r>
        <w:t xml:space="preserve">“this IP queried a C2 domain”</w:t>
      </w:r>
      <w:r>
        <w:t xml:space="preserve"> </w:t>
      </w:r>
      <w:r>
        <w:t xml:space="preserve">to become</w:t>
      </w:r>
      <w:r>
        <w:t xml:space="preserve"> </w:t>
      </w:r>
      <w:r>
        <w:t xml:space="preserve">“this workstation, assigned to this user, queried a C2 domain at this time”</w:t>
      </w:r>
      <w:r>
        <w:t xml:space="preserve"> </w:t>
      </w:r>
      <w:r>
        <w:t xml:space="preserve">— the attribution chain that SOC analysts need to triage and escalate.</w:t>
      </w:r>
    </w:p>
    <w:p>
      <w:pPr>
        <w:pStyle w:val="BodyText"/>
      </w:pPr>
      <w:r>
        <w:rPr>
          <w:b/>
          <w:bCs/>
        </w:rPr>
        <w:t xml:space="preserve">The TIDE → RPZ → NIOS pipeline for federal environments.</w:t>
      </w:r>
      <w:r>
        <w:t xml:space="preserve"> </w:t>
      </w:r>
      <w:r>
        <w:t xml:space="preserve">In a NIOS-on-premises</w:t>
      </w:r>
      <w:r>
        <w:t xml:space="preserve"> </w:t>
      </w:r>
      <w:r>
        <w:t xml:space="preserve">federal deployment, the BloxOne Threat Defense detection pipeline connects</w:t>
      </w:r>
      <w:r>
        <w:t xml:space="preserve"> </w:t>
      </w:r>
      <w:r>
        <w:t xml:space="preserve">to NIOS through RPZ: threat intelligence from TIDE is translated into RPZ</w:t>
      </w:r>
      <w:r>
        <w:t xml:space="preserve"> </w:t>
      </w:r>
      <w:r>
        <w:t xml:space="preserve">policy objects and pushed to NIOS Grid members. This means that threat</w:t>
      </w:r>
      <w:r>
        <w:t xml:space="preserve"> </w:t>
      </w:r>
      <w:r>
        <w:t xml:space="preserve">feeds from the SaaS-delivered BloxOne Threat Defense reach on-premises</w:t>
      </w:r>
      <w:r>
        <w:t xml:space="preserve"> </w:t>
      </w:r>
      <w:r>
        <w:t xml:space="preserve">resolvers that may be in air-gapped or limited-internet environments,</w:t>
      </w:r>
      <w:r>
        <w:t xml:space="preserve"> </w:t>
      </w:r>
      <w:r>
        <w:t xml:space="preserve">as long as TIDE can push RPZ updates to a Grid member that is reachable.</w:t>
      </w:r>
      <w:r>
        <w:t xml:space="preserve"> </w:t>
      </w:r>
      <w:r>
        <w:t xml:space="preserve">Federal agencies with GCC Moderate or GCC High restrictions should verify</w:t>
      </w:r>
      <w:r>
        <w:t xml:space="preserve"> </w:t>
      </w:r>
      <w:r>
        <w:t xml:space="preserve">the network path from Infoblox’s TIDE delivery endpoints to on-premises</w:t>
      </w:r>
      <w:r>
        <w:t xml:space="preserve"> </w:t>
      </w:r>
      <w:r>
        <w:t xml:space="preserve">NIOS Grid members as part of their architecture assessment.</w:t>
      </w:r>
    </w:p>
    <w:bookmarkEnd w:id="63"/>
    <w:bookmarkStart w:id="64" w:name="network-discovery-and-ipam-governance"/>
    <w:p>
      <w:pPr>
        <w:pStyle w:val="Heading3"/>
      </w:pPr>
      <w:r>
        <w:t xml:space="preserve">7.7 Network Discovery and IPAM governance</w:t>
      </w:r>
    </w:p>
    <w:p>
      <w:pPr>
        <w:pStyle w:val="FirstParagraph"/>
      </w:pPr>
      <w:r>
        <w:t xml:space="preserve">For federal agencies, IPAM is not optional infrastructure — it is a FISMA</w:t>
      </w:r>
      <w:r>
        <w:t xml:space="preserve"> </w:t>
      </w:r>
      <w:r>
        <w:t xml:space="preserve">and FedRAMP compliance requirement. NIST SP 800-53 CM-8 (Information System</w:t>
      </w:r>
      <w:r>
        <w:t xml:space="preserve"> </w:t>
      </w:r>
      <w:r>
        <w:t xml:space="preserve">Component Inventory) requires a comprehensive inventory of all IT components,</w:t>
      </w:r>
      <w:r>
        <w:t xml:space="preserve"> </w:t>
      </w:r>
      <w:r>
        <w:t xml:space="preserve">updated continuously. For IP-connected devices, the IP address inventory</w:t>
      </w:r>
      <w:r>
        <w:t xml:space="preserve"> </w:t>
      </w:r>
      <w:r>
        <w:t xml:space="preserve">maintained by IPAM is the most current and automated form of that component</w:t>
      </w:r>
      <w:r>
        <w:t xml:space="preserve"> </w:t>
      </w:r>
      <w:r>
        <w:t xml:space="preserve">inventory available.</w:t>
      </w:r>
    </w:p>
    <w:p>
      <w:pPr>
        <w:pStyle w:val="BodyText"/>
      </w:pPr>
      <w:r>
        <w:rPr>
          <w:b/>
          <w:bCs/>
        </w:rPr>
        <w:t xml:space="preserve">Active discovery.</w:t>
      </w:r>
      <w:r>
        <w:t xml:space="preserve"> </w:t>
      </w:r>
      <w:r>
        <w:t xml:space="preserve">Infoblox Network Insight performs SNMP polling,</w:t>
      </w:r>
      <w:r>
        <w:t xml:space="preserve"> </w:t>
      </w:r>
      <w:r>
        <w:t xml:space="preserve">ICMP probing, and port scanning to discover devices. It queries network</w:t>
      </w:r>
      <w:r>
        <w:t xml:space="preserve"> </w:t>
      </w:r>
      <w:r>
        <w:t xml:space="preserve">infrastructure (routers, switches) for ARP tables and MAC address tables,</w:t>
      </w:r>
      <w:r>
        <w:t xml:space="preserve"> </w:t>
      </w:r>
      <w:r>
        <w:t xml:space="preserve">correlating MAC-to-IP bindings with DHCP lease history to build a device</w:t>
      </w:r>
      <w:r>
        <w:t xml:space="preserve"> </w:t>
      </w:r>
      <w:r>
        <w:t xml:space="preserve">population map that reflects current state rather than last-provisioned state.</w:t>
      </w:r>
    </w:p>
    <w:p>
      <w:pPr>
        <w:pStyle w:val="BodyText"/>
      </w:pPr>
      <w:r>
        <w:rPr>
          <w:b/>
          <w:bCs/>
        </w:rPr>
        <w:t xml:space="preserve">Passive discovery.</w:t>
      </w:r>
      <w:r>
        <w:t xml:space="preserve"> </w:t>
      </w:r>
      <w:r>
        <w:t xml:space="preserve">NIOS in the recursive resolver role observes every</w:t>
      </w:r>
      <w:r>
        <w:t xml:space="preserve"> </w:t>
      </w:r>
      <w:r>
        <w:t xml:space="preserve">DNS query made by every client on the network. The source IP of each query</w:t>
      </w:r>
      <w:r>
        <w:t xml:space="preserve"> </w:t>
      </w:r>
      <w:r>
        <w:t xml:space="preserve">is an asset assertion: that IP address has a device that is active and</w:t>
      </w:r>
      <w:r>
        <w:t xml:space="preserve"> </w:t>
      </w:r>
      <w:r>
        <w:t xml:space="preserve">resolving DNS. Passive observation does not require any active scan or</w:t>
      </w:r>
      <w:r>
        <w:t xml:space="preserve"> </w:t>
      </w:r>
      <w:r>
        <w:t xml:space="preserve">agent, making it the least intrusive discovery mechanism and the one most</w:t>
      </w:r>
      <w:r>
        <w:t xml:space="preserve"> </w:t>
      </w:r>
      <w:r>
        <w:t xml:space="preserve">likely to find devices that block active scans (ICS sensors, legacy</w:t>
      </w:r>
      <w:r>
        <w:t xml:space="preserve"> </w:t>
      </w:r>
      <w:r>
        <w:t xml:space="preserve">embedded systems, IoT devices).</w:t>
      </w:r>
    </w:p>
    <w:p>
      <w:pPr>
        <w:pStyle w:val="BodyText"/>
      </w:pPr>
      <w:r>
        <w:rPr>
          <w:b/>
          <w:bCs/>
        </w:rPr>
        <w:t xml:space="preserve">Cloud IPAM and address space management.</w:t>
      </w:r>
      <w:r>
        <w:t xml:space="preserve"> </w:t>
      </w:r>
      <w:r>
        <w:t xml:space="preserve">Each CSP’s address space is</w:t>
      </w:r>
      <w:r>
        <w:t xml:space="preserve"> </w:t>
      </w:r>
      <w:r>
        <w:t xml:space="preserve">managed through a different tool (AWS IPAM, Azure IPAM, GCP IPAM). In a</w:t>
      </w:r>
      <w:r>
        <w:t xml:space="preserve"> </w:t>
      </w:r>
      <w:r>
        <w:t xml:space="preserve">multi-cloud environment, these produce isolated islands of address knowledge.</w:t>
      </w:r>
      <w:r>
        <w:t xml:space="preserve"> </w:t>
      </w:r>
      <w:r>
        <w:t xml:space="preserve">Universal DDI imports the address allocation data from each CSP via API,</w:t>
      </w:r>
      <w:r>
        <w:t xml:space="preserve"> </w:t>
      </w:r>
      <w:r>
        <w:t xml:space="preserve">presenting the entire RFC 1918 address space — on-premises and cloud —</w:t>
      </w:r>
      <w:r>
        <w:t xml:space="preserve"> </w:t>
      </w:r>
      <w:r>
        <w:t xml:space="preserve">as a unified hierarchy. This is necessary for: (1) detecting address overlap</w:t>
      </w:r>
      <w:r>
        <w:t xml:space="preserve"> </w:t>
      </w:r>
      <w:r>
        <w:t xml:space="preserve">(two VPCs with the same 10.x.x.0/24 that are being peered or connected</w:t>
      </w:r>
      <w:r>
        <w:t xml:space="preserve"> </w:t>
      </w:r>
      <w:r>
        <w:t xml:space="preserve">via transit gateway); (2) planning new subnet allocations without</w:t>
      </w:r>
      <w:r>
        <w:t xml:space="preserve"> </w:t>
      </w:r>
      <w:r>
        <w:t xml:space="preserve">collisions; (3) compliance reporting (what is the full inventory of</w:t>
      </w:r>
      <w:r>
        <w:t xml:space="preserve"> </w:t>
      </w:r>
      <w:r>
        <w:t xml:space="preserve">IP-connected assets in my hybrid estate?).</w:t>
      </w:r>
    </w:p>
    <w:p>
      <w:pPr>
        <w:pStyle w:val="BodyText"/>
      </w:pPr>
      <w:r>
        <w:rPr>
          <w:b/>
          <w:bCs/>
        </w:rPr>
        <w:t xml:space="preserve">IPAM and the zero trust inventory requirement.</w:t>
      </w:r>
      <w:r>
        <w:t xml:space="preserve"> </w:t>
      </w:r>
      <w:r>
        <w:t xml:space="preserve">Zero trust architectures</w:t>
      </w:r>
      <w:r>
        <w:t xml:space="preserve"> </w:t>
      </w:r>
      <w:r>
        <w:t xml:space="preserve">require continuous, authoritative knowledge of every device on the network —</w:t>
      </w:r>
      <w:r>
        <w:t xml:space="preserve"> </w:t>
      </w:r>
      <w:r>
        <w:t xml:space="preserve">its address, its identity, its compliance state. IPAM provides the address</w:t>
      </w:r>
      <w:r>
        <w:t xml:space="preserve"> </w:t>
      </w:r>
      <w:r>
        <w:t xml:space="preserve">layer of that inventory. When integrated with the ecosystem (CMDB for asset</w:t>
      </w:r>
      <w:r>
        <w:t xml:space="preserve"> </w:t>
      </w:r>
      <w:r>
        <w:t xml:space="preserve">attributes, MDM for device compliance, DHCP fingerprinting for device class),</w:t>
      </w:r>
      <w:r>
        <w:t xml:space="preserve"> </w:t>
      </w:r>
      <w:r>
        <w:t xml:space="preserve">IPAM becomes the join table between</w:t>
      </w:r>
      <w:r>
        <w:t xml:space="preserve"> </w:t>
      </w:r>
      <w:r>
        <w:t xml:space="preserve">“IP address”</w:t>
      </w:r>
      <w:r>
        <w:t xml:space="preserve"> </w:t>
      </w:r>
      <w:r>
        <w:t xml:space="preserve">and</w:t>
      </w:r>
      <w:r>
        <w:t xml:space="preserve"> </w:t>
      </w:r>
      <w:r>
        <w:t xml:space="preserve">“identity”</w:t>
      </w:r>
      <w:r>
        <w:t xml:space="preserve"> </w:t>
      </w:r>
      <w:r>
        <w:t xml:space="preserve">— the</w:t>
      </w:r>
      <w:r>
        <w:t xml:space="preserve"> </w:t>
      </w:r>
      <w:r>
        <w:t xml:space="preserve">lookup that turns a network observable (IP address seen in a log) into a</w:t>
      </w:r>
      <w:r>
        <w:t xml:space="preserve"> </w:t>
      </w:r>
      <w:r>
        <w:t xml:space="preserve">managed, identifiable asset.</w:t>
      </w:r>
    </w:p>
    <w:bookmarkEnd w:id="64"/>
    <w:bookmarkStart w:id="66" w:name="X4b7a7b3ed68774d4f4e58689c7984ec9ff90720"/>
    <w:p>
      <w:pPr>
        <w:pStyle w:val="Heading3"/>
      </w:pPr>
      <w:r>
        <w:t xml:space="preserve">7.8 Why federal agencies need to get ahead of this now</w:t>
      </w:r>
    </w:p>
    <w:p>
      <w:pPr>
        <w:pStyle w:val="FirstParagraph"/>
      </w:pPr>
      <w:r>
        <w:t xml:space="preserve">Federal agencies face a convergence of forces that makes DNS governance</w:t>
      </w:r>
      <w:r>
        <w:t xml:space="preserve"> </w:t>
      </w:r>
      <w:r>
        <w:t xml:space="preserve">urgent rather than optional:</w:t>
      </w:r>
    </w:p>
    <w:p>
      <w:pPr>
        <w:pStyle w:val="BodyText"/>
      </w:pPr>
      <w:r>
        <w:rPr>
          <w:b/>
          <w:bCs/>
        </w:rPr>
        <w:t xml:space="preserve">The Zero Trust mandate.</w:t>
      </w:r>
      <w:r>
        <w:t xml:space="preserve"> </w:t>
      </w:r>
      <w:r>
        <w:t xml:space="preserve">CISA’s Zero Trust Maturity Model and OMB M-22-09</w:t>
      </w:r>
      <w:r>
        <w:t xml:space="preserve"> </w:t>
      </w:r>
      <w:r>
        <w:t xml:space="preserve">require agencies to move toward identity-based access controls that reference</w:t>
      </w:r>
      <w:r>
        <w:t xml:space="preserve"> </w:t>
      </w:r>
      <w:r>
        <w:t xml:space="preserve">service identities by FQDN, not by IP address. Zero trust network access</w:t>
      </w:r>
      <w:r>
        <w:t xml:space="preserve"> </w:t>
      </w:r>
      <w:r>
        <w:t xml:space="preserve">(ZTNA) implementations use DNS as the service registry. An agency cannot</w:t>
      </w:r>
      <w:r>
        <w:t xml:space="preserve"> </w:t>
      </w:r>
      <w:r>
        <w:t xml:space="preserve">implement a zero trust architecture on a fragmented DNS foundation — because</w:t>
      </w:r>
      <w:r>
        <w:t xml:space="preserve"> </w:t>
      </w:r>
      <w:r>
        <w:t xml:space="preserve">the service identities that zero trust policy references are DNS names, and if</w:t>
      </w:r>
      <w:r>
        <w:t xml:space="preserve"> </w:t>
      </w:r>
      <w:r>
        <w:t xml:space="preserve">those names are inconsistent across the estate, the policy is inconsistent too.</w:t>
      </w:r>
    </w:p>
    <w:p>
      <w:pPr>
        <w:pStyle w:val="BodyText"/>
      </w:pPr>
      <w:r>
        <w:rPr>
          <w:b/>
          <w:bCs/>
        </w:rPr>
        <w:t xml:space="preserve">The AD retirement timeline.</w:t>
      </w:r>
      <w:r>
        <w:t xml:space="preserve"> </w:t>
      </w:r>
      <w:r>
        <w:t xml:space="preserve">Microsoft’s recommendation is unambiguous:</w:t>
      </w:r>
      <w:r>
        <w:t xml:space="preserve"> </w:t>
      </w:r>
      <w:r>
        <w:t xml:space="preserve">Entra join and cloud-first identity for new deployments, with on-premises AD</w:t>
      </w:r>
      <w:r>
        <w:t xml:space="preserve"> </w:t>
      </w:r>
      <w:r>
        <w:t xml:space="preserve">minimized,</w:t>
      </w:r>
      <w:r>
        <w:rPr>
          <w:rStyle w:val="FootnoteReference"/>
        </w:rPr>
        <w:footnoteReference w:id="65"/>
      </w:r>
      <w:r>
        <w:t xml:space="preserve"> </w:t>
      </w:r>
      <w:r>
        <w:t xml:space="preserve">even though AD DS itself is not deprecated. Agencies that</w:t>
      </w:r>
      <w:r>
        <w:t xml:space="preserve"> </w:t>
      </w:r>
      <w:r>
        <w:t xml:space="preserve">are in the middle of AD retirement — or that will begin it in the next two to three</w:t>
      </w:r>
      <w:r>
        <w:t xml:space="preserve"> </w:t>
      </w:r>
      <w:r>
        <w:t xml:space="preserve">years — must have a DNS governance program in place before the last DC is</w:t>
      </w:r>
      <w:r>
        <w:t xml:space="preserve"> </w:t>
      </w:r>
      <w:r>
        <w:t xml:space="preserve">decommissioned. Starting after the DC is gone means recovering from DNS</w:t>
      </w:r>
      <w:r>
        <w:t xml:space="preserve"> </w:t>
      </w:r>
      <w:r>
        <w:t xml:space="preserve">orphaning under operational pressure.</w:t>
      </w:r>
    </w:p>
    <w:p>
      <w:pPr>
        <w:pStyle w:val="BodyText"/>
      </w:pPr>
      <w:r>
        <w:rPr>
          <w:b/>
          <w:bCs/>
        </w:rPr>
        <w:t xml:space="preserve">The hybrid multi-cloud expansion.</w:t>
      </w:r>
      <w:r>
        <w:t xml:space="preserve"> </w:t>
      </w:r>
      <w:r>
        <w:t xml:space="preserve">Federal agencies are not consolidating</w:t>
      </w:r>
      <w:r>
        <w:t xml:space="preserve"> </w:t>
      </w:r>
      <w:r>
        <w:t xml:space="preserve">to a single cloud — they are expanding across multiple CSPs, often driven by</w:t>
      </w:r>
      <w:r>
        <w:t xml:space="preserve"> </w:t>
      </w:r>
      <w:r>
        <w:t xml:space="preserve">FedRAMP authorization timelines, mission system requirements, and data</w:t>
      </w:r>
      <w:r>
        <w:t xml:space="preserve"> </w:t>
      </w:r>
      <w:r>
        <w:t xml:space="preserve">classification constraints. Each new CSP addition adds another independent</w:t>
      </w:r>
      <w:r>
        <w:t xml:space="preserve"> </w:t>
      </w:r>
      <w:r>
        <w:t xml:space="preserve">DNS system. The management burden grows with each addition, and the number</w:t>
      </w:r>
      <w:r>
        <w:t xml:space="preserve"> </w:t>
      </w:r>
      <w:r>
        <w:t xml:space="preserve">of split-brain conditions grows combinatorially with the number of independent</w:t>
      </w:r>
      <w:r>
        <w:t xml:space="preserve"> </w:t>
      </w:r>
      <w:r>
        <w:t xml:space="preserve">DNS systems.</w:t>
      </w:r>
    </w:p>
    <w:p>
      <w:pPr>
        <w:pStyle w:val="BodyText"/>
      </w:pPr>
      <w:r>
        <w:rPr>
          <w:b/>
          <w:bCs/>
        </w:rPr>
        <w:t xml:space="preserve">The PKI modernization timeline.</w:t>
      </w:r>
      <w:r>
        <w:t xml:space="preserve"> </w:t>
      </w:r>
      <w:r>
        <w:t xml:space="preserve">Federal PKI is modernizing — migrating</w:t>
      </w:r>
      <w:r>
        <w:t xml:space="preserve"> </w:t>
      </w:r>
      <w:r>
        <w:t xml:space="preserve">from RSA-2048 to ECDSA, from SHA-1 to SHA-256, from legacy CRL distribution</w:t>
      </w:r>
      <w:r>
        <w:t xml:space="preserve"> </w:t>
      </w:r>
      <w:r>
        <w:t xml:space="preserve">to OCSP. Each of these migrations changes DNS records: new OCSP responder</w:t>
      </w:r>
      <w:r>
        <w:t xml:space="preserve"> </w:t>
      </w:r>
      <w:r>
        <w:t xml:space="preserve">FQDNs, new CRL distribution point FQDNs, new intermediate CA FQDNs. In a</w:t>
      </w:r>
      <w:r>
        <w:t xml:space="preserve"> </w:t>
      </w:r>
      <w:r>
        <w:t xml:space="preserve">unified DNS management plane, these changes propagate automatically. In the</w:t>
      </w:r>
      <w:r>
        <w:t xml:space="preserve"> </w:t>
      </w:r>
      <w:r>
        <w:t xml:space="preserve">per-CSP model, each change requires manual updates across five DNS systems.</w:t>
      </w:r>
    </w:p>
    <w:p>
      <w:pPr>
        <w:pStyle w:val="BodyText"/>
      </w:pPr>
      <w:r>
        <w:rPr>
          <w:b/>
          <w:bCs/>
        </w:rPr>
        <w:t xml:space="preserve">The Layer 7 transition.</w:t>
      </w:r>
      <w:r>
        <w:t xml:space="preserve"> </w:t>
      </w:r>
      <w:r>
        <w:t xml:space="preserve">Agencies deploying zero trust network access,</w:t>
      </w:r>
      <w:r>
        <w:t xml:space="preserve"> </w:t>
      </w:r>
      <w:r>
        <w:t xml:space="preserve">API gateways, and service mesh architectures are implicitly adopting</w:t>
      </w:r>
      <w:r>
        <w:t xml:space="preserve"> </w:t>
      </w:r>
      <w:r>
        <w:t xml:space="preserve">FQDN-based service identity. Once that transition is underway, the consequence</w:t>
      </w:r>
      <w:r>
        <w:t xml:space="preserve"> </w:t>
      </w:r>
      <w:r>
        <w:t xml:space="preserve">of DNS inconsistency is not</w:t>
      </w:r>
      <w:r>
        <w:t xml:space="preserve"> </w:t>
      </w:r>
      <w:r>
        <w:t xml:space="preserve">“some workloads reach the wrong IP”</w:t>
      </w:r>
      <w:r>
        <w:t xml:space="preserve"> </w:t>
      </w:r>
      <w:r>
        <w:t xml:space="preserve">— it is</w:t>
      </w:r>
      <w:r>
        <w:t xml:space="preserve"> </w:t>
      </w:r>
      <w:r>
        <w:t xml:space="preserve">“zero trust policy is unenforced for callers whose DNS is inconsistent.”</w:t>
      </w:r>
    </w:p>
    <w:p>
      <w:pPr>
        <w:pStyle w:val="BodyText"/>
      </w:pPr>
      <w:r>
        <w:rPr>
          <w:b/>
          <w:bCs/>
        </w:rPr>
        <w:t xml:space="preserve">The DHCP option-6 attack surface.</w:t>
      </w:r>
      <w:r>
        <w:t xml:space="preserve"> </w:t>
      </w:r>
      <w:r>
        <w:t xml:space="preserve">A rogue DHCP server distributing a</w:t>
      </w:r>
      <w:r>
        <w:t xml:space="preserve"> </w:t>
      </w:r>
      <w:r>
        <w:t xml:space="preserve">malicious DNS resolver in option-6 can redirect every client on a subnet</w:t>
      </w:r>
      <w:r>
        <w:t xml:space="preserve"> </w:t>
      </w:r>
      <w:r>
        <w:t xml:space="preserve">through an attacker-controlled resolver, bypassing all RPZ and threat</w:t>
      </w:r>
      <w:r>
        <w:t xml:space="preserve"> </w:t>
      </w:r>
      <w:r>
        <w:t xml:space="preserve">defense controls in one step. This attack vector is not hypothetical —</w:t>
      </w:r>
      <w:r>
        <w:t xml:space="preserve"> </w:t>
      </w:r>
      <w:r>
        <w:t xml:space="preserve">it is a documented technique in red team playbooks and has been observed</w:t>
      </w:r>
      <w:r>
        <w:t xml:space="preserve"> </w:t>
      </w:r>
      <w:r>
        <w:t xml:space="preserve">in federal network incidents. Unified DHCP governance, with rogue DHCP</w:t>
      </w:r>
      <w:r>
        <w:t xml:space="preserve"> </w:t>
      </w:r>
      <w:r>
        <w:t xml:space="preserve">detection and option-6 consistency enforcement, closes this attack surface.</w:t>
      </w:r>
    </w:p>
    <w:p>
      <w:pPr>
        <w:pStyle w:val="BodyText"/>
      </w:pPr>
      <w:r>
        <w:rPr>
          <w:b/>
          <w:bCs/>
        </w:rPr>
        <w:t xml:space="preserve">The management-plane authorization gap has just closed.</w:t>
      </w:r>
      <w:r>
        <w:t xml:space="preserve"> </w:t>
      </w:r>
      <w:r>
        <w:t xml:space="preserve">On 2026-07-22,</w:t>
      </w:r>
      <w:r>
        <w:t xml:space="preserve"> </w:t>
      </w:r>
      <w:r>
        <w:t xml:space="preserve">Infoblox Government Cloud achieved FedRAMP Moderate certification, delivering</w:t>
      </w:r>
      <w:r>
        <w:t xml:space="preserve"> </w:t>
      </w:r>
      <w:r>
        <w:t xml:space="preserve">Universal DDI Management, NIOS-X Servers, and Universal Asset Insights through</w:t>
      </w:r>
      <w:r>
        <w:t xml:space="preserve"> </w:t>
      </w:r>
      <w:r>
        <w:t xml:space="preserve">AWS GovCloud (US). Agencies that previously had to run the SaaS management</w:t>
      </w:r>
      <w:r>
        <w:t xml:space="preserve"> </w:t>
      </w:r>
      <w:r>
        <w:t xml:space="preserve">plane described in §7.4 outside an authorized boundary — or defer adopting it</w:t>
      </w:r>
      <w:r>
        <w:t xml:space="preserve"> </w:t>
      </w:r>
      <w:r>
        <w:t xml:space="preserve">until an authorization existed — no longer have that constraint as a reason to</w:t>
      </w:r>
      <w:r>
        <w:t xml:space="preserve"> </w:t>
      </w:r>
      <w:r>
        <w:t xml:space="preserve">wait. The architecture this paper argues for is now authorizable, not just</w:t>
      </w:r>
      <w:r>
        <w:t xml:space="preserve"> </w:t>
      </w:r>
      <w:r>
        <w:t xml:space="preserve">directionally correct.</w:t>
      </w:r>
    </w:p>
    <w:p>
      <w:r>
        <w:pict>
          <v:rect style="width:0;height:1.5pt" o:hralign="center" o:hrstd="t" o:hr="t"/>
        </w:pict>
      </w:r>
    </w:p>
    <w:bookmarkEnd w:id="66"/>
    <w:bookmarkEnd w:id="67"/>
    <w:bookmarkStart w:id="72" w:name="Xc2745bce0ca752289ec222d2988f1c7984120da"/>
    <w:p>
      <w:pPr>
        <w:pStyle w:val="Heading2"/>
      </w:pPr>
      <w:r>
        <w:t xml:space="preserve">Part 8 — Cisco Catalyst SD-WAN DNS Interception</w:t>
      </w:r>
    </w:p>
    <w:bookmarkStart w:id="68" w:name="the-gap-in-vendor-documentation"/>
    <w:p>
      <w:pPr>
        <w:pStyle w:val="Heading3"/>
      </w:pPr>
      <w:r>
        <w:t xml:space="preserve">8.1 The gap in vendor documentation</w:t>
      </w:r>
    </w:p>
    <w:p>
      <w:pPr>
        <w:pStyle w:val="FirstParagraph"/>
      </w:pPr>
      <w:r>
        <w:t xml:space="preserve">Neither Infoblox nor Cisco has published documentation explaining how Cisco</w:t>
      </w:r>
      <w:r>
        <w:t xml:space="preserve"> </w:t>
      </w:r>
      <w:r>
        <w:t xml:space="preserve">Catalyst SD-WAN DNS interception interacts with the Infoblox DDI resolution</w:t>
      </w:r>
      <w:r>
        <w:t xml:space="preserve"> </w:t>
      </w:r>
      <w:r>
        <w:t xml:space="preserve">chain. The Infoblox Universal DDI product page contains a single generic</w:t>
      </w:r>
      <w:r>
        <w:t xml:space="preserve"> </w:t>
      </w:r>
      <w:r>
        <w:t xml:space="preserve">bullet —</w:t>
      </w:r>
      <w:r>
        <w:t xml:space="preserve"> </w:t>
      </w:r>
      <w:r>
        <w:t xml:space="preserve">“Optimize SD-WAN”</w:t>
      </w:r>
      <w:r>
        <w:t xml:space="preserve"> </w:t>
      </w:r>
      <w:r>
        <w:t xml:space="preserve">— with no technical detail. The Cisco INR blog</w:t>
      </w:r>
      <w:r>
        <w:t xml:space="preserve"> </w:t>
      </w:r>
      <w:r>
        <w:t xml:space="preserve">covers URL categorization and traffic steering at a marketing level.</w:t>
      </w:r>
    </w:p>
    <w:bookmarkEnd w:id="68"/>
    <w:bookmarkStart w:id="69" w:name="how-cisco-catalyst-sd-wan-intercepts-dns"/>
    <w:p>
      <w:pPr>
        <w:pStyle w:val="Heading3"/>
      </w:pPr>
      <w:r>
        <w:t xml:space="preserve">8.2 How Cisco Catalyst SD-WAN intercepts DNS</w:t>
      </w:r>
    </w:p>
    <w:p>
      <w:pPr>
        <w:pStyle w:val="FirstParagraph"/>
      </w:pPr>
      <w:r>
        <w:t xml:space="preserve">Cisco Catalyst SD-WAN (IOS XE SD-WAN ≥ 20.4/17.4) implements DNS interception</w:t>
      </w:r>
      <w:r>
        <w:t xml:space="preserve"> </w:t>
      </w:r>
      <w:r>
        <w:t xml:space="preserve">through its</w:t>
      </w:r>
      <w:r>
        <w:t xml:space="preserve"> </w:t>
      </w:r>
      <w:r>
        <w:rPr>
          <w:rStyle w:val="VerbatimChar"/>
        </w:rPr>
        <w:t xml:space="preserve">redirect-dns</w:t>
      </w:r>
      <w:r>
        <w:t xml:space="preserve"> </w:t>
      </w:r>
      <w:r>
        <w:t xml:space="preserve">data policy feature. When a branch device sends a</w:t>
      </w:r>
      <w:r>
        <w:t xml:space="preserve"> </w:t>
      </w:r>
      <w:r>
        <w:t xml:space="preserve">DNS query, the SD-WAN edge router intercepts the query — regardless of its</w:t>
      </w:r>
      <w:r>
        <w:t xml:space="preserve"> </w:t>
      </w:r>
      <w:r>
        <w:t xml:space="preserve">configured resolver — and redirects it to a policy-designated DNS server.</w:t>
      </w:r>
      <w:r>
        <w:t xml:space="preserve"> </w:t>
      </w:r>
      <w:r>
        <w:t xml:space="preserve">The originating workstation receives a response indistinguishable from a</w:t>
      </w:r>
      <w:r>
        <w:t xml:space="preserve"> </w:t>
      </w:r>
      <w:r>
        <w:t xml:space="preserve">native response.</w:t>
      </w:r>
    </w:p>
    <w:p>
      <w:pPr>
        <w:pStyle w:val="BodyText"/>
      </w:pPr>
      <w:r>
        <w:t xml:space="preserve">The interception determines whether Infoblox DDI policy is applied:</w:t>
      </w:r>
    </w:p>
    <w:p>
      <w:pPr>
        <w:pStyle w:val="SourceCode"/>
      </w:pPr>
      <w:r>
        <w:rPr>
          <w:rStyle w:val="VerbatimChar"/>
        </w:rPr>
        <w:t xml:space="preserve">Correct path:</w:t>
      </w:r>
      <w:r>
        <w:br/>
      </w:r>
      <w:r>
        <w:rPr>
          <w:rStyle w:val="VerbatimChar"/>
        </w:rPr>
        <w:t xml:space="preserve"> Branch User → SD-WAN edge (intercept) → BloxOne Endpoint</w:t>
      </w:r>
      <w:r>
        <w:br/>
      </w:r>
      <w:r>
        <w:rPr>
          <w:rStyle w:val="VerbatimChar"/>
        </w:rPr>
        <w:t xml:space="preserve"> → BloxOne DDI (RPZ, DNSSEC, IPAM policy)</w:t>
      </w:r>
      <w:r>
        <w:br/>
      </w:r>
      <w:r>
        <w:rPr>
          <w:rStyle w:val="VerbatimChar"/>
        </w:rPr>
        <w:t xml:space="preserve"> → Per-CSP private resolver</w:t>
      </w:r>
      <w:r>
        <w:br/>
      </w:r>
      <w:r>
        <w:br/>
      </w:r>
      <w:r>
        <w:rPr>
          <w:rStyle w:val="VerbatimChar"/>
        </w:rPr>
        <w:t xml:space="preserve">Bypassed path:</w:t>
      </w:r>
      <w:r>
        <w:br/>
      </w:r>
      <w:r>
        <w:rPr>
          <w:rStyle w:val="VerbatimChar"/>
        </w:rPr>
        <w:t xml:space="preserve"> Branch User → SD-WAN edge (intercept) → Cisco Umbrella</w:t>
      </w:r>
      <w:r>
        <w:br/>
      </w:r>
      <w:r>
        <w:rPr>
          <w:rStyle w:val="VerbatimChar"/>
        </w:rPr>
        <w:t xml:space="preserve"> → Public recursive resolution</w:t>
      </w:r>
      <w:r>
        <w:br/>
      </w:r>
      <w:r>
        <w:rPr>
          <w:rStyle w:val="VerbatimChar"/>
        </w:rPr>
        <w:t xml:space="preserve"> [Infoblox DDI policy plane is bypassed entirely]</w:t>
      </w:r>
    </w:p>
    <w:p>
      <w:pPr>
        <w:pStyle w:val="FirstParagraph"/>
      </w:pPr>
      <w:r>
        <w:t xml:space="preserve">If</w:t>
      </w:r>
      <w:r>
        <w:t xml:space="preserve"> </w:t>
      </w:r>
      <w:r>
        <w:rPr>
          <w:rStyle w:val="VerbatimChar"/>
        </w:rPr>
        <w:t xml:space="preserve">redirect-dns</w:t>
      </w:r>
      <w:r>
        <w:t xml:space="preserve"> </w:t>
      </w:r>
      <w:r>
        <w:t xml:space="preserve">forwards to Cisco Umbrella, the Infoblox DDI policy plane</w:t>
      </w:r>
      <w:r>
        <w:t xml:space="preserve"> </w:t>
      </w:r>
      <w:r>
        <w:t xml:space="preserve">is bypassed for every branch query. From the Infoblox console, those queries</w:t>
      </w:r>
      <w:r>
        <w:t xml:space="preserve"> </w:t>
      </w:r>
      <w:r>
        <w:t xml:space="preserve">are invisible: no log entry, no RPZ evaluation, no DNSSEC validation.</w:t>
      </w:r>
    </w:p>
    <w:bookmarkEnd w:id="69"/>
    <w:bookmarkStart w:id="70" w:name="Xcc30769b950d2381b951578a2a0cd2b98acb793"/>
    <w:p>
      <w:pPr>
        <w:pStyle w:val="Heading3"/>
      </w:pPr>
      <w:r>
        <w:t xml:space="preserve">8.3 DNSSEC validation and the forwarder position problem</w:t>
      </w:r>
    </w:p>
    <w:p>
      <w:pPr>
        <w:pStyle w:val="FirstParagraph"/>
      </w:pPr>
      <w:r>
        <w:t xml:space="preserve">DNSSEC validation requires the validating resolver to sit at the first</w:t>
      </w:r>
      <w:r>
        <w:t xml:space="preserve"> </w:t>
      </w:r>
      <w:r>
        <w:t xml:space="preserve">recursive position in the chain. When</w:t>
      </w:r>
      <w:r>
        <w:t xml:space="preserve"> </w:t>
      </w:r>
      <w:r>
        <w:rPr>
          <w:rStyle w:val="VerbatimChar"/>
        </w:rPr>
        <w:t xml:space="preserve">redirect-dns</w:t>
      </w:r>
      <w:r>
        <w:t xml:space="preserve"> </w:t>
      </w:r>
      <w:r>
        <w:t xml:space="preserve">sends queries to Umbrella</w:t>
      </w:r>
      <w:r>
        <w:t xml:space="preserve"> </w:t>
      </w:r>
      <w:r>
        <w:t xml:space="preserve">and Umbrella performs recursive resolution, DNSSEC validation has occurred</w:t>
      </w:r>
      <w:r>
        <w:t xml:space="preserve"> </w:t>
      </w:r>
      <w:r>
        <w:t xml:space="preserve">at Umbrella — not within the agency’s control plane. For compliance postures</w:t>
      </w:r>
      <w:r>
        <w:t xml:space="preserve"> </w:t>
      </w:r>
      <w:r>
        <w:t xml:space="preserve">that require DNSSEC validation within the agency’s own infrastructure, a</w:t>
      </w:r>
      <w:r>
        <w:t xml:space="preserve"> </w:t>
      </w:r>
      <w:r>
        <w:t xml:space="preserve">Umbrella-first configuration is non-compliant.</w:t>
      </w:r>
    </w:p>
    <w:p>
      <w:pPr>
        <w:pStyle w:val="BodyText"/>
      </w:pPr>
      <w:r>
        <w:rPr>
          <w:b/>
          <w:bCs/>
        </w:rPr>
        <w:t xml:space="preserve">Correct configuration:</w:t>
      </w:r>
      <w:r>
        <w:t xml:space="preserve"> </w:t>
      </w:r>
      <w:r>
        <w:rPr>
          <w:rStyle w:val="VerbatimChar"/>
        </w:rPr>
        <w:t xml:space="preserve">redirect-dns</w:t>
      </w:r>
      <w:r>
        <w:t xml:space="preserve"> </w:t>
      </w:r>
      <w:r>
        <w:t xml:space="preserve">must point to the local Infoblox</w:t>
      </w:r>
      <w:r>
        <w:t xml:space="preserve"> </w:t>
      </w:r>
      <w:r>
        <w:t xml:space="preserve">BloxOne Endpoint. Umbrella, if used for DNS security, must be a downstream</w:t>
      </w:r>
      <w:r>
        <w:t xml:space="preserve"> </w:t>
      </w:r>
      <w:r>
        <w:t xml:space="preserve">forwarder within the BloxOne DDI chain — not the primary redirect target.</w:t>
      </w:r>
    </w:p>
    <w:bookmarkEnd w:id="70"/>
    <w:bookmarkStart w:id="71" w:name="inr-telemetry-and-dns-interaction"/>
    <w:p>
      <w:pPr>
        <w:pStyle w:val="Heading3"/>
      </w:pPr>
      <w:r>
        <w:t xml:space="preserve">8.4 INR telemetry and DNS interaction</w:t>
      </w:r>
    </w:p>
    <w:p>
      <w:pPr>
        <w:pStyle w:val="FirstParagraph"/>
      </w:pPr>
      <w:r>
        <w:t xml:space="preserve">Cisco Catalyst SD-WAN’s INR integration collects telemetry at the traffic-flow</w:t>
      </w:r>
      <w:r>
        <w:t xml:space="preserve"> </w:t>
      </w:r>
      <w:r>
        <w:t xml:space="preserve">level, not the DNS query level. DNS interception and INR are independent</w:t>
      </w:r>
      <w:r>
        <w:t xml:space="preserve"> </w:t>
      </w:r>
      <w:r>
        <w:t xml:space="preserve">mechanisms. However, if</w:t>
      </w:r>
      <w:r>
        <w:t xml:space="preserve"> </w:t>
      </w:r>
      <w:r>
        <w:rPr>
          <w:rStyle w:val="VerbatimChar"/>
        </w:rPr>
        <w:t xml:space="preserve">redirect-dns</w:t>
      </w:r>
      <w:r>
        <w:t xml:space="preserve"> </w:t>
      </w:r>
      <w:r>
        <w:t xml:space="preserve">routes to Umbrella, and Umbrella returns</w:t>
      </w:r>
      <w:r>
        <w:t xml:space="preserve"> </w:t>
      </w:r>
      <w:r>
        <w:t xml:space="preserve">a different M365 anycast IP than Infoblox would have returned (due to different</w:t>
      </w:r>
      <w:r>
        <w:t xml:space="preserve"> </w:t>
      </w:r>
      <w:r>
        <w:t xml:space="preserve">ECS subnet tagging), the INR telemetry Microsoft receives reflects the</w:t>
      </w:r>
      <w:r>
        <w:t xml:space="preserve"> </w:t>
      </w:r>
      <w:r>
        <w:t xml:space="preserve">Umbrella-selected endpoint. In a split deployment, Microsoft’s routing</w:t>
      </w:r>
      <w:r>
        <w:t xml:space="preserve"> </w:t>
      </w:r>
      <w:r>
        <w:t xml:space="preserve">recommendations may be suboptimal for the portion of traffic resolved</w:t>
      </w:r>
      <w:r>
        <w:t xml:space="preserve"> </w:t>
      </w:r>
      <w:r>
        <w:t xml:space="preserve">through Infoblox.</w:t>
      </w:r>
    </w:p>
    <w:p>
      <w:r>
        <w:pict>
          <v:rect style="width:0;height:1.5pt" o:hralign="center" o:hrstd="t" o:hr="t"/>
        </w:pict>
      </w:r>
    </w:p>
    <w:bookmarkEnd w:id="71"/>
    <w:bookmarkEnd w:id="72"/>
    <w:bookmarkStart w:id="75" w:name="part-9-the-federal-sovereign-cloud-gap"/>
    <w:p>
      <w:pPr>
        <w:pStyle w:val="Heading2"/>
      </w:pPr>
      <w:r>
        <w:t xml:space="preserve">Part 9 — The Federal Sovereign Cloud Gap</w:t>
      </w:r>
    </w:p>
    <w:bookmarkStart w:id="73" w:name="inr-is-ww-commercial-only"/>
    <w:p>
      <w:pPr>
        <w:pStyle w:val="Heading3"/>
      </w:pPr>
      <w:r>
        <w:t xml:space="preserve">9.1 INR is WW Commercial only</w:t>
      </w:r>
    </w:p>
    <w:p>
      <w:pPr>
        <w:pStyle w:val="FirstParagraph"/>
      </w:pPr>
      <w:r>
        <w:t xml:space="preserve">Microsoft 365 Informed Network Routing (INR) is restricted to WW Commercial</w:t>
      </w:r>
      <w:r>
        <w:t xml:space="preserve"> </w:t>
      </w:r>
      <w:r>
        <w:t xml:space="preserve">cloud tenants. Microsoft Learn (updated 2026-03-10) states verbatim:</w:t>
      </w:r>
    </w:p>
    <w:p>
      <w:pPr>
        <w:pStyle w:val="BlockText"/>
      </w:pPr>
      <w:r>
        <w:rPr>
          <w:i/>
          <w:iCs/>
        </w:rPr>
        <w:t xml:space="preserve">“Microsoft 365 informed network routing supports tenants in WW Commercial</w:t>
      </w:r>
      <w:r>
        <w:rPr>
          <w:i/>
          <w:iCs/>
        </w:rPr>
        <w:t xml:space="preserve"> </w:t>
      </w:r>
      <w:r>
        <w:rPr>
          <w:i/>
          <w:iCs/>
        </w:rPr>
        <w:t xml:space="preserve">cloud but not the GCC Moderate, GCC High, DoD, Germany, or China clouds.”</w:t>
      </w:r>
    </w:p>
    <w:p>
      <w:pPr>
        <w:pStyle w:val="FirstParagraph"/>
      </w:pPr>
      <w:r>
        <w:t xml:space="preserve">Cisco Catalyst SD-WAN (IOS XE SD-WAN ≥ 20.4/17.4) is the only SD-WAN vendor</w:t>
      </w:r>
      <w:r>
        <w:t xml:space="preserve"> </w:t>
      </w:r>
      <w:r>
        <w:t xml:space="preserve">in Microsoft’s INR</w:t>
      </w:r>
      <w:r>
        <w:t xml:space="preserve"> </w:t>
      </w:r>
      <w:r>
        <w:t xml:space="preserve">“Currently enabled solutions”</w:t>
      </w:r>
      <w:r>
        <w:t xml:space="preserve"> </w:t>
      </w:r>
      <w:r>
        <w:t xml:space="preserve">table. The INR integration</w:t>
      </w:r>
      <w:r>
        <w:t xml:space="preserve"> </w:t>
      </w:r>
      <w:r>
        <w:t xml:space="preserve">is real and valuable — but it is architecturally irrelevant to any federal</w:t>
      </w:r>
      <w:r>
        <w:t xml:space="preserve"> </w:t>
      </w:r>
      <w:r>
        <w:t xml:space="preserve">agency operating in a sovereign cloud environment.</w:t>
      </w:r>
    </w:p>
    <w:bookmarkEnd w:id="73"/>
    <w:bookmarkStart w:id="74" w:name="what-federal-agencies-use-instead"/>
    <w:p>
      <w:pPr>
        <w:pStyle w:val="Heading3"/>
      </w:pPr>
      <w:r>
        <w:t xml:space="preserve">9.2 What federal agencies use instead</w:t>
      </w:r>
    </w:p>
    <w:p>
      <w:pPr>
        <w:pStyle w:val="FirstParagraph"/>
      </w:pPr>
      <w:r>
        <w:t xml:space="preserve">The absence of INR does not eliminate SD-WAN value for federal agencies.</w:t>
      </w:r>
      <w:r>
        <w:t xml:space="preserve"> </w:t>
      </w:r>
      <w:r>
        <w:t xml:space="preserve">Available mechanisms:</w:t>
      </w:r>
    </w:p>
    <w:p>
      <w:pPr>
        <w:pStyle w:val="BodyText"/>
      </w:pPr>
      <w:r>
        <w:rPr>
          <w:b/>
          <w:bCs/>
        </w:rPr>
        <w:t xml:space="preserve">Direct internet breakout with DSCP marking</w:t>
      </w:r>
      <w:r>
        <w:t xml:space="preserve"> </w:t>
      </w:r>
      <w:r>
        <w:t xml:space="preserve">identifies M365-destined</w:t>
      </w:r>
      <w:r>
        <w:t xml:space="preserve"> </w:t>
      </w:r>
      <w:r>
        <w:t xml:space="preserve">traffic by Microsoft’s published IP ranges and routes it via direct breakout,</w:t>
      </w:r>
      <w:r>
        <w:t xml:space="preserve"> </w:t>
      </w:r>
      <w:r>
        <w:t xml:space="preserve">bypassing MPLS backhaul. This is the primary M365 optimization pattern</w:t>
      </w:r>
      <w:r>
        <w:t xml:space="preserve"> </w:t>
      </w:r>
      <w:r>
        <w:t xml:space="preserve">recommended in Microsoft’s network connectivity principles and is fully</w:t>
      </w:r>
      <w:r>
        <w:t xml:space="preserve"> </w:t>
      </w:r>
      <w:r>
        <w:t xml:space="preserve">available in sovereign cloud environments.</w:t>
      </w:r>
    </w:p>
    <w:p>
      <w:pPr>
        <w:pStyle w:val="BodyText"/>
      </w:pPr>
      <w:r>
        <w:rPr>
          <w:b/>
          <w:bCs/>
        </w:rPr>
        <w:t xml:space="preserve">Application-aware routing</w:t>
      </w:r>
      <w:r>
        <w:t xml:space="preserve"> </w:t>
      </w:r>
      <w:r>
        <w:t xml:space="preserve">measures real-time path quality (latency,</w:t>
      </w:r>
      <w:r>
        <w:t xml:space="preserve"> </w:t>
      </w:r>
      <w:r>
        <w:t xml:space="preserve">jitter, packet loss) and selects the best SD-WAN tunnel. Without INR, the</w:t>
      </w:r>
      <w:r>
        <w:t xml:space="preserve"> </w:t>
      </w:r>
      <w:r>
        <w:t xml:space="preserve">selection uses locally observed metrics rather than Microsoft-provided</w:t>
      </w:r>
      <w:r>
        <w:t xml:space="preserve"> </w:t>
      </w:r>
      <w:r>
        <w:t xml:space="preserve">telemetry — operationally sound, with an incremental gap.</w:t>
      </w:r>
    </w:p>
    <w:p>
      <w:pPr>
        <w:pStyle w:val="BodyText"/>
      </w:pPr>
      <w:r>
        <w:rPr>
          <w:b/>
          <w:bCs/>
        </w:rPr>
        <w:t xml:space="preserve">Infoblox DDI</w:t>
      </w:r>
      <w:r>
        <w:t xml:space="preserve"> </w:t>
      </w:r>
      <w:r>
        <w:t xml:space="preserve">operates identically in federal sovereign cloud environments.</w:t>
      </w:r>
      <w:r>
        <w:t xml:space="preserve"> </w:t>
      </w:r>
      <w:r>
        <w:t xml:space="preserve">DNS resolution, RPZ enforcement, DNSSEC validation, and IPAM management are</w:t>
      </w:r>
      <w:r>
        <w:t xml:space="preserve"> </w:t>
      </w:r>
      <w:r>
        <w:t xml:space="preserve">unaffected by INR availability. The</w:t>
      </w:r>
      <w:r>
        <w:t xml:space="preserve"> </w:t>
      </w:r>
      <w:r>
        <w:rPr>
          <w:rStyle w:val="VerbatimChar"/>
        </w:rPr>
        <w:t xml:space="preserve">redirect-dns</w:t>
      </w:r>
      <w:r>
        <w:t xml:space="preserve"> </w:t>
      </w:r>
      <w:r>
        <w:t xml:space="preserve">configuration guidance</w:t>
      </w:r>
      <w:r>
        <w:t xml:space="preserve"> </w:t>
      </w:r>
      <w:r>
        <w:t xml:space="preserve">in Part 8 applies unchanged.</w:t>
      </w:r>
    </w:p>
    <w:p>
      <w:pPr>
        <w:pStyle w:val="BodyText"/>
      </w:pPr>
      <w:r>
        <w:t xml:space="preserve">The federal</w:t>
      </w:r>
      <w:r>
        <w:t xml:space="preserve"> </w:t>
      </w:r>
      <w:r>
        <w:rPr>
          <w:i/>
          <w:iCs/>
        </w:rPr>
        <w:t xml:space="preserve">implementation</w:t>
      </w:r>
      <w:r>
        <w:t xml:space="preserve"> </w:t>
      </w:r>
      <w:r>
        <w:t xml:space="preserve">reference for this combination — FedRAMP</w:t>
      </w:r>
      <w:r>
        <w:t xml:space="preserve"> </w:t>
      </w:r>
      <w:r>
        <w:t xml:space="preserve">boundary partitioning of the SD-WAN planes, the FedRAMP 20x KSI evidence</w:t>
      </w:r>
      <w:r>
        <w:t xml:space="preserve"> </w:t>
      </w:r>
      <w:r>
        <w:t xml:space="preserve">contracts, the greenfield deployment sequence, and the machine-enforced</w:t>
      </w:r>
      <w:r>
        <w:t xml:space="preserve"> </w:t>
      </w:r>
      <w:r>
        <w:t xml:space="preserve">contract fixture that encodes the INR unavailability itself (FINDING-001,</w:t>
      </w:r>
      <w:r>
        <w:t xml:space="preserve"> </w:t>
      </w:r>
      <w:r>
        <w:rPr>
          <w:rStyle w:val="VerbatimChar"/>
        </w:rPr>
        <w:t xml:space="preserve">tests/fixtures/contract/m365/informed-network-routing-unavailable-gcc-moderate.yaml</w:t>
      </w:r>
      <w:r>
        <w:t xml:space="preserve">)</w:t>
      </w:r>
      <w:r>
        <w:t xml:space="preserve"> </w:t>
      </w:r>
      <w:r>
        <w:t xml:space="preserve">— is maintained in</w:t>
      </w:r>
      <w:r>
        <w:t xml:space="preserve"> </w:t>
      </w:r>
      <w:r>
        <w:t xml:space="preserve">Vol I Book 05, Appendix A</w:t>
      </w:r>
      <w:r>
        <w:t xml:space="preserve"> </w:t>
      </w:r>
      <w:r>
        <w:t xml:space="preserve">of the Federal Compliance series. This paper owns the</w:t>
      </w:r>
      <w:r>
        <w:t xml:space="preserve"> </w:t>
      </w:r>
      <w:r>
        <w:t xml:space="preserve">resolution-chain analysis (Parts 8–9); the appendix owns the federal</w:t>
      </w:r>
      <w:r>
        <w:t xml:space="preserve"> </w:t>
      </w:r>
      <w:r>
        <w:t xml:space="preserve">build-out.</w:t>
      </w:r>
    </w:p>
    <w:p>
      <w:r>
        <w:pict>
          <v:rect style="width:0;height:1.5pt" o:hralign="center" o:hrstd="t" o:hr="t"/>
        </w:pict>
      </w:r>
    </w:p>
    <w:bookmarkEnd w:id="74"/>
    <w:bookmarkEnd w:id="75"/>
    <w:bookmarkStart w:id="79" w:name="part-10-reference-architecture"/>
    <w:p>
      <w:pPr>
        <w:pStyle w:val="Heading2"/>
      </w:pPr>
      <w:r>
        <w:t xml:space="preserve">Part 10 — Reference Architecture</w:t>
      </w:r>
    </w:p>
    <w:bookmarkStart w:id="76" w:name="the-end-to-end-resolution-flow"/>
    <w:p>
      <w:pPr>
        <w:pStyle w:val="Heading3"/>
      </w:pPr>
      <w:r>
        <w:t xml:space="preserve">10.1 The end-to-end resolution flow</w:t>
      </w:r>
    </w:p>
    <w:p>
      <w:pPr>
        <w:pStyle w:val="FirstParagraph"/>
      </w:pPr>
      <w:r>
        <w:t xml:space="preserve">This reference architecture synthesizes the components addressed in Parts 1–9</w:t>
      </w:r>
      <w:r>
        <w:t xml:space="preserve"> </w:t>
      </w:r>
      <w:r>
        <w:t xml:space="preserve">into a complete DNS governance model for a hybrid multi-cloud federal</w:t>
      </w:r>
      <w:r>
        <w:t xml:space="preserve"> </w:t>
      </w:r>
      <w:r>
        <w:t xml:space="preserve">environment. It encompasses on-premises AD DNS transition, multi-cloud</w:t>
      </w:r>
      <w:r>
        <w:t xml:space="preserve"> </w:t>
      </w:r>
      <w:r>
        <w:t xml:space="preserve">private DNS forwarding, Cisco Catalyst SD-WAN branch interception, and</w:t>
      </w:r>
      <w:r>
        <w:t xml:space="preserve"> </w:t>
      </w:r>
      <w:r>
        <w:t xml:space="preserve">the federal sovereign cloud boundary.</w:t>
      </w:r>
    </w:p>
    <w:bookmarkEnd w:id="76"/>
    <w:bookmarkStart w:id="77" w:name="X8447824ea372fed9c946b46949ed08fb71a4b43"/>
    <w:p>
      <w:pPr>
        <w:pStyle w:val="Heading3"/>
      </w:pPr>
      <w:r>
        <w:t xml:space="preserve">10.2 The five critical configuration decisions</w:t>
      </w:r>
    </w:p>
    <w:p>
      <w:pPr>
        <w:pStyle w:val="FirstParagraph"/>
      </w:pPr>
      <w:r>
        <w:rPr>
          <w:b/>
          <w:bCs/>
        </w:rPr>
        <w:t xml:space="preserve">Decision 1 — redirect-dns destination.</w:t>
      </w:r>
      <w:r>
        <w:t xml:space="preserve"> </w:t>
      </w:r>
      <w:r>
        <w:t xml:space="preserve">Cisco Catalyst SD-WAN</w:t>
      </w:r>
      <w:r>
        <w:t xml:space="preserve"> </w:t>
      </w:r>
      <w:r>
        <w:rPr>
          <w:rStyle w:val="VerbatimChar"/>
        </w:rPr>
        <w:t xml:space="preserve">redirect-dns</w:t>
      </w:r>
      <w:r>
        <w:t xml:space="preserve"> </w:t>
      </w:r>
      <w:r>
        <w:t xml:space="preserve">must designate the local Infoblox BloxOne Endpoint as the redirect target.</w:t>
      </w:r>
      <w:r>
        <w:t xml:space="preserve"> </w:t>
      </w:r>
      <w:r>
        <w:t xml:space="preserve">Any other target bypasses Universal DDI for branch queries.</w:t>
      </w:r>
    </w:p>
    <w:p>
      <w:pPr>
        <w:pStyle w:val="BodyText"/>
      </w:pPr>
      <w:r>
        <w:rPr>
          <w:b/>
          <w:bCs/>
        </w:rPr>
        <w:t xml:space="preserve">Decision 2 — forwarding chain order.</w:t>
      </w:r>
      <w:r>
        <w:t xml:space="preserve"> </w:t>
      </w:r>
      <w:r>
        <w:t xml:space="preserve">Umbrella, if used, must be downstream</w:t>
      </w:r>
      <w:r>
        <w:t xml:space="preserve"> </w:t>
      </w:r>
      <w:r>
        <w:t xml:space="preserve">of BloxOne DDI in the forwarding chain — not an upstream redirect target.</w:t>
      </w:r>
      <w:r>
        <w:t xml:space="preserve"> </w:t>
      </w:r>
      <w:r>
        <w:t xml:space="preserve">Correct sequence:</w:t>
      </w:r>
      <w:r>
        <w:t xml:space="preserve"> </w:t>
      </w:r>
      <w:r>
        <w:rPr>
          <w:rStyle w:val="VerbatimChar"/>
        </w:rPr>
        <w:t xml:space="preserve">BloxOne Endpoint → BloxOne DDI (policy) → Umbrella (optional) → recursive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Decision 3 — per-CSP conditional forwarding.</w:t>
      </w:r>
      <w:r>
        <w:t xml:space="preserve"> </w:t>
      </w:r>
      <w:r>
        <w:t xml:space="preserve">Universal DDI must hold</w:t>
      </w:r>
      <w:r>
        <w:t xml:space="preserve"> </w:t>
      </w:r>
      <w:r>
        <w:t xml:space="preserve">authoritative forwarding rules for all private namespaces across all CSPs</w:t>
      </w:r>
      <w:r>
        <w:t xml:space="preserve"> </w:t>
      </w:r>
      <w:r>
        <w:t xml:space="preserve">and VMware segments. Rules maintained only in NIOS and not in Universal DDI</w:t>
      </w:r>
      <w:r>
        <w:t xml:space="preserve"> </w:t>
      </w:r>
      <w:r>
        <w:t xml:space="preserve">leave BloxOne Endpoint branches without private resolution capability.</w:t>
      </w:r>
    </w:p>
    <w:p>
      <w:pPr>
        <w:pStyle w:val="BodyText"/>
      </w:pPr>
      <w:r>
        <w:rPr>
          <w:b/>
          <w:bCs/>
        </w:rPr>
        <w:t xml:space="preserve">Decision 4 — AD DNS record inventory before retirement.</w:t>
      </w:r>
      <w:r>
        <w:t xml:space="preserve"> </w:t>
      </w:r>
      <w:r>
        <w:t xml:space="preserve">Before any DC</w:t>
      </w:r>
      <w:r>
        <w:t xml:space="preserve"> </w:t>
      </w:r>
      <w:r>
        <w:t xml:space="preserve">is decommissioned, all SRV records, conditional forwarding rules, and</w:t>
      </w:r>
      <w:r>
        <w:t xml:space="preserve"> </w:t>
      </w:r>
      <w:r>
        <w:t xml:space="preserve">namespace authorizations maintained by AD DNS must be inventoried and</w:t>
      </w:r>
      <w:r>
        <w:t xml:space="preserve"> </w:t>
      </w:r>
      <w:r>
        <w:t xml:space="preserve">reprovisioned in NIOS or Universal DDI. This step is irreversible to skip —</w:t>
      </w:r>
      <w:r>
        <w:t xml:space="preserve"> </w:t>
      </w:r>
      <w:r>
        <w:t xml:space="preserve">the records cannot be recovered from a decommissioned DC.</w:t>
      </w:r>
    </w:p>
    <w:p>
      <w:pPr>
        <w:pStyle w:val="BodyText"/>
      </w:pPr>
      <w:r>
        <w:rPr>
          <w:b/>
          <w:bCs/>
        </w:rPr>
        <w:t xml:space="preserve">Decision 5 — OCSP and CRL reachability from all origins.</w:t>
      </w:r>
      <w:r>
        <w:t xml:space="preserve"> </w:t>
      </w:r>
      <w:r>
        <w:t xml:space="preserve">PKI validation</w:t>
      </w:r>
      <w:r>
        <w:t xml:space="preserve"> </w:t>
      </w:r>
      <w:r>
        <w:t xml:space="preserve">endpoints must be resolvable from every network origin — on-premises, every</w:t>
      </w:r>
      <w:r>
        <w:t xml:space="preserve"> </w:t>
      </w:r>
      <w:r>
        <w:t xml:space="preserve">CSP, every branch. OCSP FQDNs that are private-only in AD DNS must be</w:t>
      </w:r>
      <w:r>
        <w:t xml:space="preserve"> </w:t>
      </w:r>
      <w:r>
        <w:t xml:space="preserve">published in Universal DDI with forwarding rules that make them reachable</w:t>
      </w:r>
      <w:r>
        <w:t xml:space="preserve"> </w:t>
      </w:r>
      <w:r>
        <w:t xml:space="preserve">from cloud-originating queries.</w:t>
      </w:r>
    </w:p>
    <w:bookmarkEnd w:id="77"/>
    <w:bookmarkStart w:id="78" w:name="Xdef409371ccc968234805c636ea7a08f8aaacdc"/>
    <w:p>
      <w:pPr>
        <w:pStyle w:val="Heading3"/>
      </w:pPr>
      <w:r>
        <w:t xml:space="preserve">10.3 Deployment comparison: Commercial versus federal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160"/>
        <w:gridCol w:w="2880"/>
        <w:gridCol w:w="28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Component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WW Commercial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GCC Moderate / GCC High / DoD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Infoblox Universal DDI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✅ Full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✅ Full</w:t>
            </w:r>
          </w:p>
        </w:tc>
      </w:tr>
      <w:tr>
        <w:tc>
          <w:tcPr/>
          <w:p>
            <w:pPr>
              <w:pStyle w:val="Compact"/>
            </w:pPr>
            <w:r>
              <w:t xml:space="preserve">BloxOne Endpoint at SD-WAN branch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✅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Cisco Catalyst SD-WAN redirect-dns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✅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RPZ / DNSSEC via Universal DDI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✅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 DNS record migration to NIOS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✅ Required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✅ Required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OCSP/CRL reachability from cloud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✅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Wildcard DNS application surface governance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✅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Layer 7 FQDN-based policy support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✅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Cisco SD-WAN INR telemetry loop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✅ Available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❌ Excluded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M365 optimization via DSCP / direct breakout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✅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✅ (primary mechanism)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78"/>
    <w:bookmarkEnd w:id="79"/>
    <w:bookmarkStart w:id="93" w:name="appendix-a-source-inventory"/>
    <w:p>
      <w:pPr>
        <w:pStyle w:val="Heading2"/>
      </w:pPr>
      <w:r>
        <w:t xml:space="preserve">Appendix A — Source Inventory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Quality</w:t>
            </w:r>
          </w:p>
        </w:tc>
        <w:tc>
          <w:tcPr/>
          <w:p>
            <w:pPr>
              <w:pStyle w:val="Compact"/>
            </w:pPr>
            <w:r>
              <w:t xml:space="preserve">Key claim supported</w:t>
            </w:r>
          </w:p>
        </w:tc>
      </w:tr>
      <w:tr>
        <w:tc>
          <w:tcPr/>
          <w:p>
            <w:pPr>
              <w:pStyle w:val="Compact"/>
            </w:pPr>
            <w:hyperlink r:id="rId80">
              <w:r>
                <w:rPr>
                  <w:rStyle w:val="Hyperlink"/>
                </w:rPr>
                <w:t xml:space="preserve">Infoblox Multi-Cloud Solutions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Primary vendor</w:t>
            </w:r>
          </w:p>
        </w:tc>
        <w:tc>
          <w:tcPr/>
          <w:p>
            <w:pPr>
              <w:pStyle w:val="Compact"/>
            </w:pPr>
            <w:r>
              <w:t xml:space="preserve">Siloed DNS / split-brain problem statement</w:t>
            </w:r>
          </w:p>
        </w:tc>
      </w:tr>
      <w:tr>
        <w:tc>
          <w:tcPr/>
          <w:p>
            <w:pPr>
              <w:pStyle w:val="Compact"/>
            </w:pPr>
            <w:hyperlink r:id="rId81">
              <w:r>
                <w:rPr>
                  <w:rStyle w:val="Hyperlink"/>
                </w:rPr>
                <w:t xml:space="preserve">Infoblox Universal DDI Product Page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Primary vendor</w:t>
            </w:r>
          </w:p>
        </w:tc>
        <w:tc>
          <w:tcPr/>
          <w:p>
            <w:pPr>
              <w:pStyle w:val="Compact"/>
            </w:pPr>
            <w:r>
              <w:t xml:space="preserve">Management plane surface coverage</w:t>
            </w:r>
          </w:p>
        </w:tc>
      </w:tr>
      <w:tr>
        <w:tc>
          <w:tcPr/>
          <w:p>
            <w:pPr>
              <w:pStyle w:val="Compact"/>
            </w:pPr>
            <w:hyperlink r:id="rId82">
              <w:r>
                <w:rPr>
                  <w:rStyle w:val="Hyperlink"/>
                </w:rPr>
                <w:t xml:space="preserve">Infoblox Federal Solutions Page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Primary vendor</w:t>
            </w:r>
          </w:p>
        </w:tc>
        <w:tc>
          <w:tcPr/>
          <w:p>
            <w:pPr>
              <w:pStyle w:val="Compact"/>
            </w:pPr>
            <w:r>
              <w:t xml:space="preserve">Federal marketing and government hybrid-cloud claim</w:t>
            </w:r>
          </w:p>
        </w:tc>
      </w:tr>
      <w:tr>
        <w:tc>
          <w:tcPr/>
          <w:p>
            <w:pPr>
              <w:pStyle w:val="Compact"/>
            </w:pPr>
            <w:hyperlink r:id="rId83">
              <w:r>
                <w:rPr>
                  <w:rStyle w:val="Hyperlink"/>
                </w:rPr>
                <w:t xml:space="preserve">Infoblox Innovations Blog, Nov 2025 – Jan 2026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Vendor blog</w:t>
            </w:r>
          </w:p>
        </w:tc>
        <w:tc>
          <w:tcPr/>
          <w:p>
            <w:pPr>
              <w:pStyle w:val="Compact"/>
            </w:pPr>
            <w:r>
              <w:t xml:space="preserve">Cloudflare / Akamai integration additions</w:t>
            </w:r>
          </w:p>
        </w:tc>
      </w:tr>
      <w:tr>
        <w:tc>
          <w:tcPr/>
          <w:p>
            <w:pPr>
              <w:pStyle w:val="Compact"/>
            </w:pPr>
            <w:hyperlink r:id="rId84">
              <w:r>
                <w:rPr>
                  <w:rStyle w:val="Hyperlink"/>
                </w:rPr>
                <w:t xml:space="preserve">Infoblox Security Blog — Unified Interception Point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Vendor blog</w:t>
            </w:r>
          </w:p>
        </w:tc>
        <w:tc>
          <w:tcPr/>
          <w:p>
            <w:pPr>
              <w:pStyle w:val="Compact"/>
            </w:pPr>
            <w:r>
              <w:t xml:space="preserve">Single management plane</w:t>
            </w:r>
          </w:p>
        </w:tc>
      </w:tr>
      <w:tr>
        <w:tc>
          <w:tcPr/>
          <w:p>
            <w:pPr>
              <w:pStyle w:val="Compact"/>
            </w:pPr>
            <w:hyperlink r:id="rId85">
              <w:r>
                <w:rPr>
                  <w:rStyle w:val="Hyperlink"/>
                </w:rPr>
                <w:t xml:space="preserve">Network World — Infoblox Universal DDI Nov 2025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Trade press</w:t>
            </w:r>
          </w:p>
        </w:tc>
        <w:tc>
          <w:tcPr/>
          <w:p>
            <w:pPr>
              <w:pStyle w:val="Compact"/>
            </w:pPr>
            <w:r>
              <w:t xml:space="preserve">Independent confirmation of edge integrations</w:t>
            </w:r>
          </w:p>
        </w:tc>
      </w:tr>
      <w:tr>
        <w:tc>
          <w:tcPr/>
          <w:p>
            <w:pPr>
              <w:pStyle w:val="Compact"/>
            </w:pPr>
            <w:hyperlink r:id="rId86">
              <w:r>
                <w:rPr>
                  <w:rStyle w:val="Hyperlink"/>
                </w:rPr>
                <w:t xml:space="preserve">Infoblox Government Cloud Achieves FedRAMP Moderate Certification (2026-07-22)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Primary vendor</w:t>
            </w:r>
          </w:p>
        </w:tc>
        <w:tc>
          <w:tcPr/>
          <w:p>
            <w:pPr>
              <w:pStyle w:val="Compact"/>
            </w:pPr>
            <w:r>
              <w:t xml:space="preserve">Universal DDI Management + NIOS-X + Universal Asset Insights authorized in AWS GovCloud (US)</w:t>
            </w:r>
          </w:p>
        </w:tc>
      </w:tr>
      <w:tr>
        <w:tc>
          <w:tcPr/>
          <w:p>
            <w:pPr>
              <w:pStyle w:val="Compact"/>
            </w:pPr>
            <w:hyperlink r:id="rId87">
              <w:r>
                <w:rPr>
                  <w:rStyle w:val="Hyperlink"/>
                </w:rPr>
                <w:t xml:space="preserve">Microsoft Learn — INR CPE Documentation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Primary (Microsoft)</w:t>
            </w:r>
          </w:p>
        </w:tc>
        <w:tc>
          <w:tcPr/>
          <w:p>
            <w:pPr>
              <w:pStyle w:val="Compact"/>
            </w:pPr>
            <w:r>
              <w:t xml:space="preserve">Cisco-only INR table; GCC/DoD exclusion (2026-03-10)</w:t>
            </w:r>
          </w:p>
        </w:tc>
      </w:tr>
      <w:tr>
        <w:tc>
          <w:tcPr/>
          <w:p>
            <w:pPr>
              <w:pStyle w:val="Compact"/>
            </w:pPr>
            <w:hyperlink r:id="rId88">
              <w:r>
                <w:rPr>
                  <w:rStyle w:val="Hyperlink"/>
                </w:rPr>
                <w:t xml:space="preserve">Cisco Blog — INR First Vendor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Vendor blog</w:t>
            </w:r>
          </w:p>
        </w:tc>
        <w:tc>
          <w:tcPr/>
          <w:p>
            <w:pPr>
              <w:pStyle w:val="Compact"/>
            </w:pPr>
            <w:r>
              <w:t xml:space="preserve">INR integration context</w:t>
            </w:r>
          </w:p>
        </w:tc>
      </w:tr>
      <w:tr>
        <w:tc>
          <w:tcPr/>
          <w:p>
            <w:pPr>
              <w:pStyle w:val="Compact"/>
            </w:pPr>
            <w:hyperlink r:id="rId89">
              <w:r>
                <w:rPr>
                  <w:rStyle w:val="Hyperlink"/>
                </w:rPr>
                <w:t xml:space="preserve">Cisco Blog — INR Teams/SharePoint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Vendor blog</w:t>
            </w:r>
          </w:p>
        </w:tc>
        <w:tc>
          <w:tcPr/>
          <w:p>
            <w:pPr>
              <w:pStyle w:val="Compact"/>
            </w:pPr>
            <w:r>
              <w:t xml:space="preserve">20.4.x starting version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RFC 1034 / RFC 1035</w:t>
            </w:r>
          </w:p>
        </w:tc>
        <w:tc>
          <w:tcPr/>
          <w:p>
            <w:pPr>
              <w:pStyle w:val="Compact"/>
            </w:pPr>
            <w:r>
              <w:t xml:space="preserve">IETF</w:t>
            </w:r>
          </w:p>
        </w:tc>
        <w:tc>
          <w:tcPr/>
          <w:p>
            <w:pPr>
              <w:pStyle w:val="Compact"/>
            </w:pPr>
            <w:r>
              <w:t xml:space="preserve">DNS specification and wildcard behavior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RFC 5625</w:t>
            </w:r>
          </w:p>
        </w:tc>
        <w:tc>
          <w:tcPr/>
          <w:p>
            <w:pPr>
              <w:pStyle w:val="Compact"/>
            </w:pPr>
            <w:r>
              <w:t xml:space="preserve">IETF</w:t>
            </w:r>
          </w:p>
        </w:tc>
        <w:tc>
          <w:tcPr/>
          <w:p>
            <w:pPr>
              <w:pStyle w:val="Compact"/>
            </w:pPr>
            <w:r>
              <w:t xml:space="preserve">DNS forwarder behavior in policy chain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NIST SP 800-207</w:t>
            </w:r>
          </w:p>
        </w:tc>
        <w:tc>
          <w:tcPr/>
          <w:p>
            <w:pPr>
              <w:pStyle w:val="Compact"/>
            </w:pPr>
            <w:r>
              <w:t xml:space="preserve">NIST</w:t>
            </w:r>
          </w:p>
        </w:tc>
        <w:tc>
          <w:tcPr/>
          <w:p>
            <w:pPr>
              <w:pStyle w:val="Compact"/>
            </w:pPr>
            <w:r>
              <w:t xml:space="preserve">Zero Trust Architecture — FQDN as service identity</w:t>
            </w:r>
          </w:p>
        </w:tc>
      </w:tr>
      <w:tr>
        <w:tc>
          <w:tcPr/>
          <w:p>
            <w:pPr>
              <w:pStyle w:val="Compact"/>
            </w:pPr>
            <w:hyperlink r:id="rId90">
              <w:r>
                <w:rPr>
                  <w:rStyle w:val="Hyperlink"/>
                </w:rPr>
                <w:t xml:space="preserve">Cisco — Redirect DNS in Cisco Catalyst SD-WAN Service-Side VPNs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Primary vendor</w:t>
            </w:r>
          </w:p>
        </w:tc>
        <w:tc>
          <w:tcPr/>
          <w:p>
            <w:pPr>
              <w:pStyle w:val="Compact"/>
            </w:pPr>
            <w:r>
              <w:t xml:space="preserve">§8.2</w:t>
            </w:r>
            <w:r>
              <w:t xml:space="preserve"> </w:t>
            </w:r>
            <w:r>
              <w:rPr>
                <w:rStyle w:val="VerbatimChar"/>
              </w:rPr>
              <w:t xml:space="preserve">redirect-dns</w:t>
            </w:r>
            <w:r>
              <w:t xml:space="preserve"> </w:t>
            </w:r>
            <w:r>
              <w:t xml:space="preserve">mechanics: data policy match/action syntax, NAT dependency, restrictions (IPv4-only, UDP-only, no overlay-tunnel source) — confirms the interception model in the text</w:t>
            </w:r>
          </w:p>
        </w:tc>
      </w:tr>
      <w:tr>
        <w:tc>
          <w:tcPr/>
          <w:p>
            <w:pPr>
              <w:pStyle w:val="Compact"/>
            </w:pPr>
            <w:hyperlink r:id="rId59">
              <w:r>
                <w:rPr>
                  <w:rStyle w:val="Hyperlink"/>
                </w:rPr>
                <w:t xml:space="preserve">Infoblox — Limitations of Azure DNS Integration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Primary vendor</w:t>
            </w:r>
          </w:p>
        </w:tc>
        <w:tc>
          <w:tcPr/>
          <w:p>
            <w:pPr>
              <w:pStyle w:val="Compact"/>
            </w:pPr>
            <w:r>
              <w:t xml:space="preserve">§7.4</w:t>
            </w:r>
            <w:r>
              <w:t xml:space="preserve"> </w:t>
            </w:r>
            <w:r>
              <w:t xml:space="preserve">“noted limitations”</w:t>
            </w:r>
            <w:r>
              <w:t xml:space="preserve"> </w:t>
            </w:r>
            <w:r>
              <w:t xml:space="preserve">footnote: no Azure DNS tag support, no non-simple routing policy records, NS/SOA/MNAME sync constraints — answers Appendix B Q2</w:t>
            </w:r>
          </w:p>
        </w:tc>
      </w:tr>
      <w:tr>
        <w:tc>
          <w:tcPr/>
          <w:p>
            <w:pPr>
              <w:pStyle w:val="Compact"/>
            </w:pPr>
            <w:hyperlink r:id="rId91">
              <w:r>
                <w:rPr>
                  <w:rStyle w:val="Hyperlink"/>
                </w:rPr>
                <w:t xml:space="preserve">Infoblox — Managing Endpoint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Primary vendor</w:t>
            </w:r>
          </w:p>
        </w:tc>
        <w:tc>
          <w:tcPr/>
          <w:p>
            <w:pPr>
              <w:pStyle w:val="Compact"/>
            </w:pPr>
            <w:r>
              <w:t xml:space="preserve">Current-gen Infoblox Endpoint architecture: DoT on TCP/443 to a loopback stub resolver (127.0.0.1, or 127.0.0.2 on macOS) — informs but does not fully resolve Appendix B Q1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strike/>
              </w:rPr>
              <w:t xml:space="preserve">Infoblox DDI-for-SD-WAN PDF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docs.infoblox.com/space/BloxOneCloud/2096169083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Primary vendor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Citation error, corrected 2026-07-27: this URL is reachable but is</w:t>
            </w:r>
            <w:r>
              <w:rPr>
                <w:i/>
                <w:iCs/>
              </w:rPr>
              <w:t xml:space="preserve"> </w:t>
            </w:r>
            <w:hyperlink r:id="rId92">
              <w:r>
                <w:rPr>
                  <w:rStyle w:val="Hyperlink"/>
                  <w:i/>
                  <w:iCs/>
                </w:rPr>
                <w:t xml:space="preserve">Cisco Catalyst SD-WAN Credentials</w:t>
              </w:r>
            </w:hyperlink>
            <w:r>
              <w:rPr>
                <w:i/>
                <w:iCs/>
              </w:rPr>
              <w:t xml:space="preserve">, a Universal Asset Insights (device-discovery) credential-setup page — unrelated to DNS/DDI resolution behavior. It does not support any claim in this paper and should not have been cited as a DDI-for-SD-WAN source.</w:t>
            </w:r>
          </w:p>
        </w:tc>
      </w:tr>
    </w:tbl>
    <w:bookmarkEnd w:id="93"/>
    <w:bookmarkStart w:id="97" w:name="Xdcb81690c9300ad3d18d8bd8083d90c841af9a6"/>
    <w:p>
      <w:pPr>
        <w:pStyle w:val="Heading2"/>
      </w:pPr>
      <w:r>
        <w:t xml:space="preserve">Appendix B — Open Questions for Vendor Engagement</w:t>
      </w:r>
    </w:p>
    <w:p>
      <w:pPr>
        <w:numPr>
          <w:ilvl w:val="0"/>
          <w:numId w:val="1010"/>
        </w:numPr>
      </w:pPr>
      <w:r>
        <w:rPr>
          <w:b/>
          <w:bCs/>
        </w:rPr>
        <w:t xml:space="preserve">Infoblox:</w:t>
      </w:r>
      <w:r>
        <w:t xml:space="preserve"> </w:t>
      </w:r>
      <w:r>
        <w:t xml:space="preserve">Does BloxOne Endpoint support transparent DNS proxy mode</w:t>
      </w:r>
      <w:r>
        <w:t xml:space="preserve"> </w:t>
      </w:r>
      <w:r>
        <w:t xml:space="preserve">compatible with Cisco Catalyst SD-WAN</w:t>
      </w:r>
      <w:r>
        <w:t xml:space="preserve"> </w:t>
      </w:r>
      <w:r>
        <w:rPr>
          <w:rStyle w:val="VerbatimChar"/>
        </w:rPr>
        <w:t xml:space="preserve">redirect-dns</w:t>
      </w:r>
      <w:r>
        <w:t xml:space="preserve">? Or must the workstation</w:t>
      </w:r>
      <w:r>
        <w:t xml:space="preserve"> </w:t>
      </w:r>
      <w:r>
        <w:t xml:space="preserve">explicitly configure BloxOne Endpoint as its resolver? —</w:t>
      </w:r>
      <w:r>
        <w:t xml:space="preserve"> </w:t>
      </w:r>
      <w:r>
        <w:rPr>
          <w:i/>
          <w:iCs/>
        </w:rPr>
        <w:t xml:space="preserve">Partially informed</w:t>
      </w:r>
      <w:r>
        <w:rPr>
          <w:i/>
          <w:iCs/>
        </w:rPr>
        <w:t xml:space="preserve"> </w:t>
      </w:r>
      <w:r>
        <w:rPr>
          <w:i/>
          <w:iCs/>
        </w:rPr>
        <w:t xml:space="preserve">2026-07-27:</w:t>
      </w:r>
      <w:r>
        <w:rPr>
          <w:i/>
          <w:iCs/>
        </w:rPr>
        <w:t xml:space="preserve"> </w:t>
      </w:r>
      <w:hyperlink r:id="rId91">
        <w:r>
          <w:rPr>
            <w:rStyle w:val="Hyperlink"/>
            <w:i/>
            <w:iCs/>
          </w:rPr>
          <w:t xml:space="preserve">Managing Endpoint</w:t>
        </w:r>
      </w:hyperlink>
      <w:r>
        <w:rPr>
          <w:i/>
          <w:iCs/>
        </w:rPr>
        <w:t xml:space="preserve"> </w:t>
      </w:r>
      <w:r>
        <w:rPr>
          <w:i/>
          <w:iCs/>
        </w:rPr>
        <w:t xml:space="preserve">describes Infoblox Endpoint as a loopback stub resolver (device queries</w:t>
      </w:r>
      <w:r>
        <w:rPr>
          <w:i/>
          <w:iCs/>
        </w:rPr>
        <w:t xml:space="preserve"> </w:t>
      </w:r>
      <w:r>
        <w:rPr>
          <w:i/>
          <w:iCs/>
        </w:rPr>
        <w:t xml:space="preserve">127.0.0.1/127.0.0.2 on port 53, agent forwards over DoT/443) rather than a</w:t>
      </w:r>
      <w:r>
        <w:rPr>
          <w:i/>
          <w:iCs/>
        </w:rPr>
        <w:t xml:space="preserve"> </w:t>
      </w:r>
      <w:r>
        <w:rPr>
          <w:i/>
          <w:iCs/>
        </w:rPr>
        <w:t xml:space="preserve">network-addressable proxy. That architecture is not obviously the target of</w:t>
      </w:r>
      <w:r>
        <w:rPr>
          <w:i/>
          <w:iCs/>
        </w:rPr>
        <w:t xml:space="preserve"> </w:t>
      </w:r>
      <w:r>
        <w:rPr>
          <w:i/>
          <w:iCs/>
        </w:rPr>
        <w:t xml:space="preserve">a network-level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redirect-dns</w:t>
      </w:r>
      <w:r>
        <w:rPr>
          <w:i/>
          <w:iCs/>
        </w:rPr>
        <w:t xml:space="preserve"> </w:t>
      </w:r>
      <w:r>
        <w:rPr>
          <w:i/>
          <w:iCs/>
        </w:rPr>
        <w:t xml:space="preserve">redirect, which points at an IP address — still</w:t>
      </w:r>
      <w:r>
        <w:rPr>
          <w:i/>
          <w:iCs/>
        </w:rPr>
        <w:t xml:space="preserve"> </w:t>
      </w:r>
      <w:r>
        <w:rPr>
          <w:i/>
          <w:iCs/>
        </w:rPr>
        <w:t xml:space="preserve">needs vendor confirmation.</w:t>
      </w:r>
    </w:p>
    <w:p>
      <w:pPr>
        <w:numPr>
          <w:ilvl w:val="0"/>
          <w:numId w:val="1010"/>
        </w:numPr>
      </w:pPr>
      <w:r>
        <w:rPr>
          <w:b/>
          <w:bCs/>
        </w:rPr>
        <w:t xml:space="preserve">Infoblox:</w:t>
      </w:r>
      <w:r>
        <w:t xml:space="preserve"> </w:t>
      </w:r>
      <w:r>
        <w:t xml:space="preserve">What are the specific Azure DNS integration limitations in</w:t>
      </w:r>
      <w:r>
        <w:t xml:space="preserve"> </w:t>
      </w:r>
      <w:r>
        <w:rPr>
          <w:rStyle w:val="VerbatimChar"/>
        </w:rPr>
        <w:t xml:space="preserve">docs.infoblox.com</w:t>
      </w:r>
      <w:r>
        <w:t xml:space="preserve">? Do they affect private endpoint FQDN resolution or</w:t>
      </w:r>
      <w:r>
        <w:t xml:space="preserve"> </w:t>
      </w:r>
      <w:r>
        <w:t xml:space="preserve">conditional forwarding for Azure-managed namespaces? —</w:t>
      </w:r>
      <w:r>
        <w:t xml:space="preserve"> </w:t>
      </w:r>
      <w:r>
        <w:rPr>
          <w:i/>
          <w:iCs/>
        </w:rPr>
        <w:t xml:space="preserve">Answered 2026-07-27</w:t>
      </w:r>
      <w:r>
        <w:rPr>
          <w:i/>
          <w:iCs/>
        </w:rPr>
        <w:t xml:space="preserve"> </w:t>
      </w:r>
      <w:r>
        <w:rPr>
          <w:i/>
          <w:iCs/>
        </w:rPr>
        <w:t xml:space="preserve">for the limitation list: see</w:t>
      </w:r>
      <w:r>
        <w:rPr>
          <w:i/>
          <w:iCs/>
        </w:rPr>
        <w:t xml:space="preserve"> </w:t>
      </w:r>
      <w:hyperlink r:id="rId59">
        <w:r>
          <w:rPr>
            <w:rStyle w:val="Hyperlink"/>
            <w:i/>
            <w:iCs/>
          </w:rPr>
          <w:t xml:space="preserve">Limitations of Azure DNS Integration</w:t>
        </w:r>
      </w:hyperlink>
      <w:r>
        <w:rPr>
          <w:i/>
          <w:iCs/>
        </w:rPr>
        <w:t xml:space="preserve"> </w:t>
      </w:r>
      <w:r>
        <w:rPr>
          <w:i/>
          <w:iCs/>
        </w:rPr>
        <w:t xml:space="preserve">(no Azure DNS tags, no non-simple routing policy records, NS/SOA/MNAME sync</w:t>
      </w:r>
      <w:r>
        <w:rPr>
          <w:i/>
          <w:iCs/>
        </w:rPr>
        <w:t xml:space="preserve"> </w:t>
      </w:r>
      <w:r>
        <w:rPr>
          <w:i/>
          <w:iCs/>
        </w:rPr>
        <w:t xml:space="preserve">constraints). The page does not address private-endpoint FQDN resolution or</w:t>
      </w:r>
      <w:r>
        <w:rPr>
          <w:i/>
          <w:iCs/>
        </w:rPr>
        <w:t xml:space="preserve"> </w:t>
      </w:r>
      <w:r>
        <w:rPr>
          <w:i/>
          <w:iCs/>
        </w:rPr>
        <w:t xml:space="preserve">conditional forwarding specifically — that half of the question is still open.</w:t>
      </w:r>
    </w:p>
    <w:p>
      <w:pPr>
        <w:numPr>
          <w:ilvl w:val="0"/>
          <w:numId w:val="1010"/>
        </w:numPr>
      </w:pPr>
      <w:r>
        <w:rPr>
          <w:b/>
          <w:bCs/>
        </w:rPr>
        <w:t xml:space="preserve">Infoblox:</w:t>
      </w:r>
      <w:r>
        <w:t xml:space="preserve"> </w:t>
      </w:r>
      <w:r>
        <w:t xml:space="preserve">Does Universal DDI IPAM track wildcard DNS records and</w:t>
      </w:r>
      <w:r>
        <w:t xml:space="preserve"> </w:t>
      </w:r>
      <w:r>
        <w:t xml:space="preserve">subdomain namespace occupancy, or only host-level A/AAAA records?</w:t>
      </w:r>
    </w:p>
    <w:p>
      <w:pPr>
        <w:numPr>
          <w:ilvl w:val="0"/>
          <w:numId w:val="1010"/>
        </w:numPr>
      </w:pPr>
      <w:r>
        <w:rPr>
          <w:b/>
          <w:bCs/>
        </w:rPr>
        <w:t xml:space="preserve">Cisco: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redirect-dns</w:t>
      </w:r>
      <w:r>
        <w:t xml:space="preserve"> </w:t>
      </w:r>
      <w:r>
        <w:t xml:space="preserve">redirects a query to a BloxOne Endpoint,</w:t>
      </w:r>
      <w:r>
        <w:t xml:space="preserve"> </w:t>
      </w:r>
      <w:r>
        <w:t xml:space="preserve">does the source IP presented to BloxOne Endpoint reflect the originating</w:t>
      </w:r>
      <w:r>
        <w:t xml:space="preserve"> </w:t>
      </w:r>
      <w:r>
        <w:t xml:space="preserve">workstation (for ECS subnet selection) or the SD-WAN edge router?</w:t>
      </w:r>
    </w:p>
    <w:p>
      <w:pPr>
        <w:numPr>
          <w:ilvl w:val="0"/>
          <w:numId w:val="1010"/>
        </w:numPr>
      </w:pPr>
      <w:r>
        <w:rPr>
          <w:b/>
          <w:bCs/>
        </w:rPr>
        <w:t xml:space="preserve">Microsoft:</w:t>
      </w:r>
      <w:r>
        <w:t xml:space="preserve"> </w:t>
      </w:r>
      <w:r>
        <w:t xml:space="preserve">Is there a roadmap for INR in GCC Moderate or GCC High?</w:t>
      </w:r>
      <w:r>
        <w:t xml:space="preserve"> </w:t>
      </w:r>
      <w:r>
        <w:t xml:space="preserve">Is there an alternative telemetry mechanism for sovereign cloud customers?</w:t>
      </w:r>
    </w:p>
    <w:p>
      <w:pPr>
        <w:numPr>
          <w:ilvl w:val="0"/>
          <w:numId w:val="1010"/>
        </w:numPr>
      </w:pPr>
      <w:r>
        <w:rPr>
          <w:b/>
          <w:bCs/>
        </w:rPr>
        <w:t xml:space="preserve">Microsoft:</w:t>
      </w:r>
      <w:r>
        <w:t xml:space="preserve"> </w:t>
      </w:r>
      <w:r>
        <w:t xml:space="preserve">What is the recommended DNS governance approach for agencies</w:t>
      </w:r>
      <w:r>
        <w:t xml:space="preserve"> </w:t>
      </w:r>
      <w:r>
        <w:t xml:space="preserve">mid-way through AD retirement with an Infoblox DDI deployment? Is there</w:t>
      </w:r>
      <w:r>
        <w:t xml:space="preserve"> </w:t>
      </w:r>
      <w:r>
        <w:t xml:space="preserve">a published migration guide for AD DNS → NIOS → Universal DDI?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Document status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whitepaper is</w:t>
            </w:r>
            <w:r>
              <w:t xml:space="preserve"> </w:t>
            </w:r>
            <w:r>
              <w:rPr>
                <w:b/>
                <w:bCs/>
              </w:rPr>
              <w:t xml:space="preserve">DRAFT v0.5</w:t>
            </w:r>
            <w:r>
              <w:t xml:space="preserve"> </w:t>
            </w:r>
            <w:r>
              <w:t xml:space="preserve">(2026-08-03 — the Part 3 DNS record</w:t>
            </w:r>
            <w:r>
              <w:t xml:space="preserve"> </w:t>
            </w:r>
            <w:r>
              <w:t xml:space="preserve">catalog and the Part 7.5 ecosystem-integration table were split out into a</w:t>
            </w:r>
            <w:r>
              <w:t xml:space="preserve"> </w:t>
            </w:r>
            <w:r>
              <w:t xml:space="preserve">standalone reference companion,</w:t>
            </w:r>
            <w:r>
              <w:t xml:space="preserve"> </w:t>
            </w:r>
            <w:hyperlink r:id="rId96">
              <w:r>
                <w:rPr>
                  <w:rStyle w:val="Hyperlink"/>
                </w:rPr>
                <w:t xml:space="preserve">DNS Record Types and Universal DDI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Ecosystem Integrations</w:t>
              </w:r>
            </w:hyperlink>
            <w:r>
              <w:t xml:space="preserve">, and a</w:t>
            </w:r>
            <w:r>
              <w:t xml:space="preserve"> </w:t>
            </w:r>
            <w:r>
              <w:t xml:space="preserve">“For decision</w:t>
            </w:r>
            <w:r>
              <w:t xml:space="preserve"> </w:t>
            </w:r>
            <w:r>
              <w:t xml:space="preserve">makers”</w:t>
            </w:r>
            <w:r>
              <w:t xml:space="preserve"> </w:t>
            </w:r>
            <w:r>
              <w:t xml:space="preserve">executive digest was added near the top of this page so Part 10.2’s</w:t>
            </w:r>
            <w:r>
              <w:t xml:space="preserve"> </w:t>
            </w:r>
            <w:r>
              <w:t xml:space="preserve">five configuration decisions are reachable without reading the taxonomy</w:t>
            </w:r>
            <w:r>
              <w:t xml:space="preserve"> </w:t>
            </w:r>
            <w:r>
              <w:t xml:space="preserve">first; no external claims were re-verified in that revision). External claims</w:t>
            </w:r>
            <w:r>
              <w:t xml:space="preserve"> </w:t>
            </w:r>
            <w:r>
              <w:t xml:space="preserve">were last re-verified 2026-07-27 — the INR sovereign-cloud restriction is</w:t>
            </w:r>
            <w:r>
              <w:t xml:space="preserve"> </w:t>
            </w:r>
            <w:r>
              <w:t xml:space="preserve">unchanged on Microsoft Learn, the April 2026 Infoblox release is reflected in</w:t>
            </w:r>
            <w:r>
              <w:t xml:space="preserve"> </w:t>
            </w:r>
            <w:r>
              <w:t xml:space="preserve">§7.4, and the 2026-07-22 Infoblox Government Cloud FedRAMP Moderate</w:t>
            </w:r>
            <w:r>
              <w:t xml:space="preserve"> </w:t>
            </w:r>
            <w:r>
              <w:t xml:space="preserve">certification is now reflected in §7.8. The two Appendix A sources originally</w:t>
            </w:r>
            <w:r>
              <w:t xml:space="preserve"> </w:t>
            </w:r>
            <w:r>
              <w:t xml:space="preserve">marked unreachable were re-checked on 2026-07-27: both return only a bare</w:t>
            </w:r>
            <w:r>
              <w:t xml:space="preserve"> </w:t>
            </w:r>
            <w:r>
              <w:t xml:space="preserve">page title to a plain</w:t>
            </w:r>
            <w:r>
              <w:t xml:space="preserve"> </w:t>
            </w:r>
            <w:r>
              <w:t xml:space="preserve">HTTP fetch (Infoblox’s docs portal and Cisco’s guide are both JS-rendered and</w:t>
            </w:r>
            <w:r>
              <w:t xml:space="preserve"> </w:t>
            </w:r>
            <w:r>
              <w:t xml:space="preserve">require a real browser), but both render full content in a browser. The Cisco</w:t>
            </w:r>
            <w:r>
              <w:t xml:space="preserve"> </w:t>
            </w:r>
            <w:r>
              <w:t xml:space="preserve">redirect-dns guide is now cited directly and grounds §8.2. The Infoblox URL</w:t>
            </w:r>
            <w:r>
              <w:t xml:space="preserve"> </w:t>
            </w:r>
            <w:r>
              <w:t xml:space="preserve">turned out to be a Universal Asset Insights credential-setup page unrelated to</w:t>
            </w:r>
            <w:r>
              <w:t xml:space="preserve"> </w:t>
            </w:r>
            <w:r>
              <w:t xml:space="preserve">DNS/DDI behavior — that citation was a research-time error and has been</w:t>
            </w:r>
            <w:r>
              <w:t xml:space="preserve"> </w:t>
            </w:r>
            <w:r>
              <w:t xml:space="preserve">replaced in Appendix A with two on-topic Infoblox sources (Azure DNS</w:t>
            </w:r>
            <w:r>
              <w:t xml:space="preserve"> </w:t>
            </w:r>
            <w:r>
              <w:t xml:space="preserve">integration limitations, current Endpoint architecture) found while</w:t>
            </w:r>
            <w:r>
              <w:t xml:space="preserve"> </w:t>
            </w:r>
            <w:r>
              <w:t xml:space="preserve">re-verifying. Appendix B Q2 is now substantially answered; Q1 and Q4 are</w:t>
            </w:r>
            <w:r>
              <w:t xml:space="preserve"> </w:t>
            </w:r>
            <w:r>
              <w:t xml:space="preserve">better informed but still open, and Q3/Q5/Q6 remain fully open. Vendor</w:t>
            </w:r>
            <w:r>
              <w:t xml:space="preserve"> </w:t>
            </w:r>
            <w:r>
              <w:t xml:space="preserve">technical review is still recommended, but the</w:t>
            </w:r>
            <w:r>
              <w:t xml:space="preserve"> </w:t>
            </w:r>
            <w:r>
              <w:t xml:space="preserve">“unreachable source”</w:t>
            </w:r>
            <w:r>
              <w:t xml:space="preserve"> </w:t>
            </w:r>
            <w:r>
              <w:t xml:space="preserve">gate</w:t>
            </w:r>
            <w:r>
              <w:t xml:space="preserve"> </w:t>
            </w:r>
            <w:r>
              <w:t xml:space="preserve">itself is closed.</w:t>
            </w:r>
            <w:r>
              <w:t xml:space="preserve"> </w:t>
            </w:r>
            <w:r>
              <w:t xml:space="preserve">Parts 4 (AD DNS departure),</w:t>
            </w:r>
            <w:r>
              <w:t xml:space="preserve"> </w:t>
            </w:r>
            <w:r>
              <w:t xml:space="preserve">5 (Kerberos → token / certificate DNS surface), and 6 (Layer 7 wildcard DNS)</w:t>
            </w:r>
            <w:r>
              <w:t xml:space="preserve"> </w:t>
            </w:r>
            <w:r>
              <w:t xml:space="preserve">are synthesized from first principles, RFC behavior, and Microsoft product</w:t>
            </w:r>
            <w:r>
              <w:t xml:space="preserve"> </w:t>
            </w:r>
            <w:r>
              <w:t xml:space="preserve">documentation — not from Infoblox or Cisco publications, which do not address</w:t>
            </w:r>
            <w:r>
              <w:t xml:space="preserve"> </w:t>
            </w:r>
            <w:r>
              <w:t xml:space="preserve">these topics. The SD-WAN interception chain analysis in Part 8 is similarly</w:t>
            </w:r>
            <w:r>
              <w:t xml:space="preserve"> </w:t>
            </w:r>
            <w:r>
              <w:t xml:space="preserve">synthesized. Before customer distribution, resolve the remaining open Appendix B questions and obtain</w:t>
            </w:r>
            <w:r>
              <w:t xml:space="preserve"> </w:t>
            </w:r>
            <w:r>
              <w:t xml:space="preserve">sources in Appendix A and obtain Infoblox and Cisco technical review.</w:t>
            </w:r>
          </w:p>
          <w:p/>
        </w:tc>
      </w:tr>
    </w:tbl>
    <w:bookmarkEnd w:id="97"/>
    <w:bookmarkStart w:id="100" w:name="call-to-action"/>
    <w:p>
      <w:pPr>
        <w:pStyle w:val="Heading2"/>
      </w:pPr>
      <w:r>
        <w:t xml:space="preserve">Call to Action</w:t>
      </w:r>
    </w:p>
    <w:p>
      <w:pPr>
        <w:pStyle w:val="FirstParagraph"/>
      </w:pPr>
      <w:r>
        <w:t xml:space="preserve">Part 10.2’s five configuration decisions are where most of this</w:t>
      </w:r>
      <w:r>
        <w:t xml:space="preserve"> </w:t>
      </w:r>
      <w:r>
        <w:t xml:space="preserve">paper’s risk concentrates — get the redirect-dns destination and</w:t>
      </w:r>
      <w:r>
        <w:t xml:space="preserve"> </w:t>
      </w:r>
      <w:r>
        <w:t xml:space="preserve">forwarding order wrong, and the rest of the reference architecture</w:t>
      </w:r>
      <w:r>
        <w:t xml:space="preserve"> </w:t>
      </w:r>
      <w:r>
        <w:t xml:space="preserve">doesn’t matter.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9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Five steps before the next SD-WAN or Universal DDI change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1"/>
              </w:numPr>
            </w:pPr>
            <w:r>
              <w:rPr>
                <w:b/>
                <w:bCs/>
              </w:rPr>
              <w:t xml:space="preserve">Audit the current redirect-dns destination at every branch.</w:t>
            </w:r>
            <w:r>
              <w:t xml:space="preserve"> </w:t>
            </w:r>
            <w:r>
              <w:t xml:space="preserve">Decision 1 (§10.2) is the single most common configuration error —</w:t>
            </w:r>
            <w:r>
              <w:t xml:space="preserve"> </w:t>
            </w:r>
            <w:r>
              <w:t xml:space="preserve">any target other than the local BloxOne Endpoint bypasses Universal</w:t>
            </w:r>
            <w:r>
              <w:t xml:space="preserve"> </w:t>
            </w:r>
            <w:r>
              <w:t xml:space="preserve">DDI policy entirely, silently.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rPr>
                <w:b/>
                <w:bCs/>
              </w:rPr>
              <w:t xml:space="preserve">Verify the forwarding chain order, not just its presence.</w:t>
            </w:r>
            <w:r>
              <w:t xml:space="preserve"> </w:t>
            </w:r>
            <w:r>
              <w:t xml:space="preserve">Umbrella, if used, must sit downstream of BloxOne DDI (Decision 2).</w:t>
            </w:r>
            <w:r>
              <w:t xml:space="preserve"> </w:t>
            </w:r>
            <w:r>
              <w:t xml:space="preserve">Confirm this in the running config, not the design document.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rPr>
                <w:b/>
                <w:bCs/>
              </w:rPr>
              <w:t xml:space="preserve">Inventory AD DNS records before touching a domain controller.</w:t>
            </w:r>
            <w:r>
              <w:t xml:space="preserve"> </w:t>
            </w:r>
            <w:r>
              <w:t xml:space="preserve">Decision 4 is irreversible to skip — SRV records and</w:t>
            </w:r>
            <w:r>
              <w:t xml:space="preserve"> </w:t>
            </w:r>
            <w:r>
              <w:t xml:space="preserve">conditional-forwarding rules cannot be recovered from a</w:t>
            </w:r>
            <w:r>
              <w:t xml:space="preserve"> </w:t>
            </w:r>
            <w:r>
              <w:t xml:space="preserve">decommissioned DC. This inventory has to happen</w:t>
            </w:r>
            <w:r>
              <w:t xml:space="preserve"> </w:t>
            </w:r>
            <w:r>
              <w:rPr>
                <w:i/>
                <w:iCs/>
              </w:rPr>
              <w:t xml:space="preserve">before</w:t>
            </w:r>
            <w:r>
              <w:t xml:space="preserve"> </w:t>
            </w:r>
            <w:r>
              <w:t xml:space="preserve">decommissioning, not during.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rPr>
                <w:b/>
                <w:bCs/>
              </w:rPr>
              <w:t xml:space="preserve">Check the sovereign-cloud boundary before promising INR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telemetry.</w:t>
            </w:r>
            <w:r>
              <w:t xml:space="preserve"> </w:t>
            </w:r>
            <w:r>
              <w:t xml:space="preserve">If any part of the estate is GCC/DoD, Cisco’s INR loop</w:t>
            </w:r>
            <w:r>
              <w:t xml:space="preserve"> </w:t>
            </w:r>
            <w:r>
              <w:t xml:space="preserve">(Part 9) is unavailable regardless of SD-WAN version — confirm this</w:t>
            </w:r>
            <w:r>
              <w:t xml:space="preserve"> </w:t>
            </w:r>
            <w:r>
              <w:t xml:space="preserve">with the program office before it’s designed into a briefing.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rPr>
                <w:b/>
                <w:bCs/>
              </w:rPr>
              <w:t xml:space="preserve">Take Appendix B’s open questions to the vendors, not around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them.</w:t>
            </w:r>
            <w:r>
              <w:t xml:space="preserve"> </w:t>
            </w:r>
            <w:r>
              <w:t xml:space="preserve">Three of six are still open as of this draft. Engaging</w:t>
            </w:r>
            <w:r>
              <w:t xml:space="preserve"> </w:t>
            </w:r>
            <w:r>
              <w:t xml:space="preserve">Infoblox and Cisco directly on transparent-proxy mode, per-CSP</w:t>
            </w:r>
            <w:r>
              <w:t xml:space="preserve"> </w:t>
            </w:r>
            <w:r>
              <w:t xml:space="preserve">forwarding coverage, and the INR sovereign-cloud roadmap is faster</w:t>
            </w:r>
            <w:r>
              <w:t xml:space="preserve"> </w:t>
            </w:r>
            <w:r>
              <w:t xml:space="preserve">than working around unconfirmed behavior.</w:t>
            </w:r>
          </w:p>
          <w:p/>
        </w:tc>
      </w:tr>
    </w:tbl>
    <w:p>
      <w:pPr>
        <w:pStyle w:val="FirstParagraph"/>
      </w:pPr>
      <w:r>
        <w:t xml:space="preserve">This paper is still Draft — that describes what’s verified, not a</w:t>
      </w:r>
      <w:r>
        <w:t xml:space="preserve"> </w:t>
      </w:r>
      <w:r>
        <w:t xml:space="preserve">reason to wait. The five decisions above are actionable today</w:t>
      </w:r>
      <w:r>
        <w:t xml:space="preserve"> </w:t>
      </w:r>
      <w:r>
        <w:t xml:space="preserve">regardless of which Appendix B questions remain open.</w:t>
      </w:r>
    </w:p>
    <w:bookmarkEnd w:id="100"/>
    <w:bookmarkEnd w:id="10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What’s new in Windows Server 2025</w:t>
      </w:r>
      <w:r>
        <w:t xml:space="preserve">. AD DS ships in Windows Server 2025 with new forest and domain functional levels.</w:t>
      </w:r>
      <w:r>
        <w:t xml:space="preserve"> </w:t>
      </w:r>
      <w:hyperlink r:id="rId16">
        <w:r>
          <w:rPr>
            <w:rStyle w:val="Hyperlink"/>
          </w:rPr>
          <w:t xml:space="preserve">https://learn.microsoft.com/en-us/windows-server/get-started/whats-new-windows-server-2025</w:t>
        </w:r>
      </w:hyperlink>
    </w:p>
  </w:footnote>
  <w:footnote w:id="3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What’s new in Windows Server 2025</w:t>
      </w:r>
      <w:r>
        <w:t xml:space="preserve">. AD DS ships in Windows Server 2025 with new forest and domain functional levels.</w:t>
      </w:r>
      <w:r>
        <w:t xml:space="preserve"> </w:t>
      </w:r>
      <w:hyperlink r:id="rId16">
        <w:r>
          <w:rPr>
            <w:rStyle w:val="Hyperlink"/>
          </w:rPr>
          <w:t xml:space="preserve">https://learn.microsoft.com/en-us/windows-server/get-started/whats-new-windows-server-2025</w:t>
        </w:r>
      </w:hyperlink>
    </w:p>
  </w:footnote>
  <w:footnote w:id="3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Microsoft Entra cloud-first identity guidance</w:t>
      </w:r>
      <w:r>
        <w:t xml:space="preserve">. Describes a phased path from hybrid to cloud-first and</w:t>
      </w:r>
      <w:r>
        <w:t xml:space="preserve"> </w:t>
      </w:r>
      <w:r>
        <w:t xml:space="preserve">“AD-minimized”</w:t>
      </w:r>
      <w:r>
        <w:t xml:space="preserve"> </w:t>
      </w:r>
      <w:r>
        <w:t xml:space="preserve">states.</w:t>
      </w:r>
      <w:r>
        <w:t xml:space="preserve"> </w:t>
      </w:r>
      <w:hyperlink r:id="rId38">
        <w:r>
          <w:rPr>
            <w:rStyle w:val="Hyperlink"/>
          </w:rPr>
          <w:t xml:space="preserve">https://learn.microsoft.com/en-us/entra/identity/hybrid/guidance-it-architects-source-of-authority</w:t>
        </w:r>
      </w:hyperlink>
    </w:p>
  </w:footnote>
  <w:footnote w:id="6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r>
        <w:rPr>
          <w:i/>
          <w:iCs/>
        </w:rPr>
        <w:t xml:space="preserve">Microsoft Entra cloud-first identity guidance</w:t>
      </w:r>
      <w:r>
        <w:t xml:space="preserve">. Describes a phased path from hybrid to cloud-first and</w:t>
      </w:r>
      <w:r>
        <w:t xml:space="preserve"> </w:t>
      </w:r>
      <w:r>
        <w:t xml:space="preserve">“AD-minimized”</w:t>
      </w:r>
      <w:r>
        <w:t xml:space="preserve"> </w:t>
      </w:r>
      <w:r>
        <w:t xml:space="preserve">states.</w:t>
      </w:r>
      <w:r>
        <w:t xml:space="preserve"> </w:t>
      </w:r>
      <w:hyperlink r:id="rId38">
        <w:r>
          <w:rPr>
            <w:rStyle w:val="Hyperlink"/>
          </w:rPr>
          <w:t xml:space="preserve">https://learn.microsoft.com/en-us/entra/identity/hybrid/guidance-it-architects-source-of-authority</w:t>
        </w:r>
      </w:hyperlink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88" Target="https://blogs.cisco.com/networking/cisco-is-the-first-sd-wan-vendor-with-informed-network-routing-for-microsoft-365" TargetMode="External" /><Relationship Type="http://schemas.openxmlformats.org/officeDocument/2006/relationships/hyperlink" Id="rId89" Target="https://blogs.cisco.com/networking/cisco-sd-wan-expands-microsoft-365-integration-with-informed-network-routing-for-microsoft-teams-and-sharepoint" TargetMode="External" /><Relationship Type="http://schemas.openxmlformats.org/officeDocument/2006/relationships/hyperlink" Id="rId92" Target="https://docs.infoblox.com/space/BloxOneCloud/2096169083" TargetMode="External" /><Relationship Type="http://schemas.openxmlformats.org/officeDocument/2006/relationships/hyperlink" Id="rId59" Target="https://docs.infoblox.com/space/BloxOneDDI/365461729/Limitations+of+Azure+DNS+Integration" TargetMode="External" /><Relationship Type="http://schemas.openxmlformats.org/officeDocument/2006/relationships/hyperlink" Id="rId91" Target="https://docs.infoblox.com/space/BloxOneThreatDefense/35374260/Managing+Endpoint" TargetMode="External" /><Relationship Type="http://schemas.openxmlformats.org/officeDocument/2006/relationships/hyperlink" Id="rId38" Target="https://learn.microsoft.com/en-us/entra/identity/hybrid/guidance-it-architects-source-of-authority" TargetMode="External" /><Relationship Type="http://schemas.openxmlformats.org/officeDocument/2006/relationships/hyperlink" Id="rId87" Target="https://learn.microsoft.com/en-us/microsoft-365/enterprise/office-365-network-mac-perf-cpe?view=o365-worldwide" TargetMode="External" /><Relationship Type="http://schemas.openxmlformats.org/officeDocument/2006/relationships/hyperlink" Id="rId16" Target="https://learn.microsoft.com/en-us/windows-server/get-started/whats-new-windows-server-2025" TargetMode="External" /><Relationship Type="http://schemas.openxmlformats.org/officeDocument/2006/relationships/hyperlink" Id="rId90" Target="https://www.cisco.com/c/en/us/td/docs/routers/sdwan/configuration/policies/ios-xe-17/policies-book-xe/redirect-dns.html" TargetMode="External" /><Relationship Type="http://schemas.openxmlformats.org/officeDocument/2006/relationships/hyperlink" Id="rId86" Target="https://www.infoblox.com/blog/company/infoblox-universal-ddi-comes-to-infoblox-government-cloud/" TargetMode="External" /><Relationship Type="http://schemas.openxmlformats.org/officeDocument/2006/relationships/hyperlink" Id="rId83" Target="https://www.infoblox.com/blog/company/november-2025-january-2026-innovations-whats-new-in-infoblox-ddi/" TargetMode="External" /><Relationship Type="http://schemas.openxmlformats.org/officeDocument/2006/relationships/hyperlink" Id="rId84" Target="https://www.infoblox.com/blog/security/unified-security-interception-point-for-hybrid-cloud-environments/" TargetMode="External" /><Relationship Type="http://schemas.openxmlformats.org/officeDocument/2006/relationships/hyperlink" Id="rId81" Target="https://www.infoblox.com/products/universal-ddi/" TargetMode="External" /><Relationship Type="http://schemas.openxmlformats.org/officeDocument/2006/relationships/hyperlink" Id="rId82" Target="https://www.infoblox.com/solutions/government/federal/" TargetMode="External" /><Relationship Type="http://schemas.openxmlformats.org/officeDocument/2006/relationships/hyperlink" Id="rId80" Target="https://www.infoblox.com/solutions/multi-cloud-networking/" TargetMode="External" /><Relationship Type="http://schemas.openxmlformats.org/officeDocument/2006/relationships/hyperlink" Id="rId85" Target="https://www.networkworld.com/article/4083475/infoblox-bolsters-universal-ddi-platform-with-multi-cloud-integrations.html" TargetMode="External" /><Relationship Type="http://schemas.openxmlformats.org/officeDocument/2006/relationships/hyperlink" Id="rId96" Target="infoblox-dns-reference.md" TargetMode="External" /><Relationship Type="http://schemas.openxmlformats.org/officeDocument/2006/relationships/hyperlink" Id="rId33" Target="infoblox-dns-reference.md#dns-record-type-catalog" TargetMode="External" /><Relationship Type="http://schemas.openxmlformats.org/officeDocument/2006/relationships/hyperlink" Id="rId61" Target="infoblox-dns-reference.md#universal-ddi-ecosystem-integr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https://blogs.cisco.com/networking/cisco-is-the-first-sd-wan-vendor-with-informed-network-routing-for-microsoft-365" TargetMode="External" /><Relationship Type="http://schemas.openxmlformats.org/officeDocument/2006/relationships/hyperlink" Id="rId89" Target="https://blogs.cisco.com/networking/cisco-sd-wan-expands-microsoft-365-integration-with-informed-network-routing-for-microsoft-teams-and-sharepoint" TargetMode="External" /><Relationship Type="http://schemas.openxmlformats.org/officeDocument/2006/relationships/hyperlink" Id="rId92" Target="https://docs.infoblox.com/space/BloxOneCloud/2096169083" TargetMode="External" /><Relationship Type="http://schemas.openxmlformats.org/officeDocument/2006/relationships/hyperlink" Id="rId59" Target="https://docs.infoblox.com/space/BloxOneDDI/365461729/Limitations+of+Azure+DNS+Integration" TargetMode="External" /><Relationship Type="http://schemas.openxmlformats.org/officeDocument/2006/relationships/hyperlink" Id="rId91" Target="https://docs.infoblox.com/space/BloxOneThreatDefense/35374260/Managing+Endpoint" TargetMode="External" /><Relationship Type="http://schemas.openxmlformats.org/officeDocument/2006/relationships/hyperlink" Id="rId38" Target="https://learn.microsoft.com/en-us/entra/identity/hybrid/guidance-it-architects-source-of-authority" TargetMode="External" /><Relationship Type="http://schemas.openxmlformats.org/officeDocument/2006/relationships/hyperlink" Id="rId87" Target="https://learn.microsoft.com/en-us/microsoft-365/enterprise/office-365-network-mac-perf-cpe?view=o365-worldwide" TargetMode="External" /><Relationship Type="http://schemas.openxmlformats.org/officeDocument/2006/relationships/hyperlink" Id="rId16" Target="https://learn.microsoft.com/en-us/windows-server/get-started/whats-new-windows-server-2025" TargetMode="External" /><Relationship Type="http://schemas.openxmlformats.org/officeDocument/2006/relationships/hyperlink" Id="rId90" Target="https://www.cisco.com/c/en/us/td/docs/routers/sdwan/configuration/policies/ios-xe-17/policies-book-xe/redirect-dns.html" TargetMode="External" /><Relationship Type="http://schemas.openxmlformats.org/officeDocument/2006/relationships/hyperlink" Id="rId86" Target="https://www.infoblox.com/blog/company/infoblox-universal-ddi-comes-to-infoblox-government-cloud/" TargetMode="External" /><Relationship Type="http://schemas.openxmlformats.org/officeDocument/2006/relationships/hyperlink" Id="rId83" Target="https://www.infoblox.com/blog/company/november-2025-january-2026-innovations-whats-new-in-infoblox-ddi/" TargetMode="External" /><Relationship Type="http://schemas.openxmlformats.org/officeDocument/2006/relationships/hyperlink" Id="rId84" Target="https://www.infoblox.com/blog/security/unified-security-interception-point-for-hybrid-cloud-environments/" TargetMode="External" /><Relationship Type="http://schemas.openxmlformats.org/officeDocument/2006/relationships/hyperlink" Id="rId81" Target="https://www.infoblox.com/products/universal-ddi/" TargetMode="External" /><Relationship Type="http://schemas.openxmlformats.org/officeDocument/2006/relationships/hyperlink" Id="rId82" Target="https://www.infoblox.com/solutions/government/federal/" TargetMode="External" /><Relationship Type="http://schemas.openxmlformats.org/officeDocument/2006/relationships/hyperlink" Id="rId80" Target="https://www.infoblox.com/solutions/multi-cloud-networking/" TargetMode="External" /><Relationship Type="http://schemas.openxmlformats.org/officeDocument/2006/relationships/hyperlink" Id="rId85" Target="https://www.networkworld.com/article/4083475/infoblox-bolsters-universal-ddi-platform-with-multi-cloud-integrations.html" TargetMode="External" /><Relationship Type="http://schemas.openxmlformats.org/officeDocument/2006/relationships/hyperlink" Id="rId96" Target="infoblox-dns-reference.md" TargetMode="External" /><Relationship Type="http://schemas.openxmlformats.org/officeDocument/2006/relationships/hyperlink" Id="rId33" Target="infoblox-dns-reference.md#dns-record-type-catalog" TargetMode="External" /><Relationship Type="http://schemas.openxmlformats.org/officeDocument/2006/relationships/hyperlink" Id="rId61" Target="infoblox-dns-reference.md#universal-ddi-ecosystem-integr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Next Generation DNS</dc:title>
  <dc:creator>Michael Stratton</dc:creator>
  <cp:keywords/>
  <dcterms:created xsi:type="dcterms:W3CDTF">2026-10-19T10:11:52Z</dcterms:created>
  <dcterms:modified xsi:type="dcterms:W3CDTF">2026-10-19T10:11:52Z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authors">
    <vt:lpwstr/>
  </property>
  <property fmtid="{D5CDD505-2E9C-101B-9397-08002B2CF9AE}" pid="4" name="biblio-config">
    <vt:lpwstr>True</vt:lpwstr>
  </property>
  <property fmtid="{D5CDD505-2E9C-101B-9397-08002B2CF9AE}" pid="5" name="by-author">
    <vt:lpwstr/>
  </property>
  <property fmtid="{D5CDD505-2E9C-101B-9397-08002B2CF9AE}" pid="6" name="canon-source">
    <vt:lpwstr>src/fmp/canon/</vt:lpwstr>
  </property>
  <property fmtid="{D5CDD505-2E9C-101B-9397-08002B2CF9AE}" pid="7" name="created-at">
    <vt:lpwstr>2026-06-22</vt:lpwstr>
  </property>
  <property fmtid="{D5CDD505-2E9C-101B-9397-08002B2CF9AE}" pid="8" name="date">
    <vt:lpwstr>2026-06-01</vt:lpwstr>
  </property>
  <property fmtid="{D5CDD505-2E9C-101B-9397-08002B2CF9AE}" pid="9" name="derived-from">
    <vt:lpwstr>Synthesized from Infoblox Universal DDI documentation, AWS/Azure/GCP/VMware NSX-T DNS product documentation, Microsoft Learn INR and cloud-first identity guidance, Cisco Catalyst SD-WAN INR integration documentation, RFC 1034/1035/5625/6762, and NIST Zero Trust Architecture SP 800-207. Fills the documented gap: no single publication explains how DNS governs the intersection of hybrid multi-cloud private addressing, public SaaS endpoint selection, PKI certificate validation, and Layer 7 application surface definition.</vt:lpwstr>
  </property>
  <property fmtid="{D5CDD505-2E9C-101B-9397-08002B2CF9AE}" pid="10" name="doc-type">
    <vt:lpwstr>whitepaper</vt:lpwstr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labels">
    <vt:lpwstr/>
  </property>
  <property fmtid="{D5CDD505-2E9C-101B-9397-08002B2CF9AE}" pid="15" name="lifecycle">
    <vt:lpwstr>draft</vt:lpwstr>
  </property>
  <property fmtid="{D5CDD505-2E9C-101B-9397-08002B2CF9AE}" pid="16" name="lifecycle_review">
    <vt:lpwstr>2026-12-22</vt:lpwstr>
  </property>
  <property fmtid="{D5CDD505-2E9C-101B-9397-08002B2CF9AE}" pid="17" name="repo-path">
    <vt:lpwstr>docs/customer-documents/whitepapers/infoblox-hybrid-dns-unified-ddi.qmd</vt:lpwstr>
  </property>
  <property fmtid="{D5CDD505-2E9C-101B-9397-08002B2CF9AE}" pid="18" name="status">
    <vt:lpwstr>Draft</vt:lpwstr>
  </property>
  <property fmtid="{D5CDD505-2E9C-101B-9397-08002B2CF9AE}" pid="19" name="subtitle">
    <vt:lpwstr>How DNS evolved from a name-lookup service into the application surface, the security enforcement plane, and the identity substrate of the hybrid multi-cloud enterprise — and what federal agencies must do to govern it</vt:lpwstr>
  </property>
  <property fmtid="{D5CDD505-2E9C-101B-9397-08002B2CF9AE}" pid="20" name="tiers_adopted">
    <vt:lpwstr/>
  </property>
  <property fmtid="{D5CDD505-2E9C-101B-9397-08002B2CF9AE}" pid="21" name="toc-title">
    <vt:lpwstr>Table of contents</vt:lpwstr>
  </property>
  <property fmtid="{D5CDD505-2E9C-101B-9397-08002B2CF9AE}" pid="22" name="updated-at">
    <vt:lpwstr>2026-09-16</vt:lpwstr>
  </property>
  <property fmtid="{D5CDD505-2E9C-101B-9397-08002B2CF9AE}" pid="23" name="version">
    <vt:lpwstr>0.7</vt:lpwstr>
  </property>
</Properties>
</file>