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Modernization Governance — Whitepaper</w:t>
      </w:r>
    </w:p>
    <w:p>
      <w:pPr>
        <w:pStyle w:val="Subtitle"/>
      </w:pPr>
      <w:r>
        <w:t xml:space="preserve">Governing the AD to Entra ID migration at federal scale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2026-06-01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24" w:name="modernization-governance"/>
    <w:p>
      <w:pPr>
        <w:pStyle w:val="Heading1"/>
      </w:pPr>
      <w:r>
        <w:t xml:space="preserve">Modernization Governance</w:t>
      </w:r>
    </w:p>
    <w:bookmarkStart w:id="23" w:name="X3b380bbbba690546d075c0bf6786e5a1e70d64e"/>
    <w:p>
      <w:pPr>
        <w:pStyle w:val="Heading2"/>
      </w:pPr>
      <w:r>
        <w:t xml:space="preserve">Governing the AD to Entra ID migration at federal scale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Problem, solution, ask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Problem.</w:t>
            </w:r>
            <w:r>
              <w:t xml:space="preserve"> </w:t>
            </w:r>
            <w:r>
              <w:t xml:space="preserve">The AD → Entra ID migration is an architectural inversion — from</w:t>
            </w:r>
            <w:r>
              <w:t xml:space="preserve"> </w:t>
            </w:r>
            <w:r>
              <w:t xml:space="preserve">hierarchical placement to attribute-driven identity — that changes what</w:t>
            </w:r>
            <w:r>
              <w:t xml:space="preserve"> </w:t>
            </w:r>
            <w:r>
              <w:t xml:space="preserve">“authoritative”</w:t>
            </w:r>
            <w:r>
              <w:t xml:space="preserve"> </w:t>
            </w:r>
            <w:r>
              <w:t xml:space="preserve">means for every downstream plane. Run as a tools project</w:t>
            </w:r>
            <w:r>
              <w:t xml:space="preserve"> </w:t>
            </w:r>
            <w:r>
              <w:t xml:space="preserve">(Entra Connect, hybrid sync, MFA, retire the domain controllers), it imports</w:t>
            </w:r>
            <w:r>
              <w:t xml:space="preserve"> </w:t>
            </w:r>
            <w:r>
              <w:t xml:space="preserve">the old directory’s hierarchical assumptions into the new tenant and forfeits</w:t>
            </w:r>
            <w:r>
              <w:t xml:space="preserve"> </w:t>
            </w:r>
            <w:r>
              <w:t xml:space="preserve">most of the cloud-native value.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Solution.</w:t>
            </w:r>
            <w:r>
              <w:t xml:space="preserve"> </w:t>
            </w:r>
            <w:r>
              <w:t xml:space="preserve">Governance leads the migration rather than following it:</w:t>
            </w:r>
            <w:r>
              <w:t xml:space="preserve"> </w:t>
            </w:r>
            <w:r>
              <w:t xml:space="preserve">canonize the authoritative attributes, group-computation rules, and provenance</w:t>
            </w:r>
            <w:r>
              <w:t xml:space="preserve"> </w:t>
            </w:r>
            <w:r>
              <w:t xml:space="preserve">envelope first; stand up modernization adapters and compensating enforcement</w:t>
            </w:r>
            <w:r>
              <w:t xml:space="preserve"> </w:t>
            </w:r>
            <w:r>
              <w:t xml:space="preserve">for the GCC-Moderate gaps; treat cutover as a substrate event; and let the</w:t>
            </w:r>
            <w:r>
              <w:t xml:space="preserve"> </w:t>
            </w:r>
            <w:r>
              <w:t xml:space="preserve">drift engine surface inherited inconsistencies afterward — emitting evidence</w:t>
            </w:r>
            <w:r>
              <w:t xml:space="preserve"> </w:t>
            </w:r>
            <w:r>
              <w:t xml:space="preserve">the AO can consume at every phase, not just at the end.</w:t>
            </w:r>
          </w:p>
          <w:p>
            <w:pPr>
              <w:pStyle w:val="BodyText"/>
            </w:pPr>
            <w:pPr>
              <w:spacing w:after="16"/>
            </w:pPr>
            <w:r>
              <w:rPr>
                <w:b/>
                <w:bCs/>
              </w:rPr>
              <w:t xml:space="preserve">Ask.</w:t>
            </w:r>
            <w:r>
              <w:t xml:space="preserve"> </w:t>
            </w:r>
            <w:r>
              <w:t xml:space="preserve">Sequence the program canon-first — the attribute model is authored</w:t>
            </w:r>
            <w:r>
              <w:t xml:space="preserve"> </w:t>
            </w:r>
            <w:r>
              <w:t xml:space="preserve">and the substrate walker passes before any runtime change — and commit to</w:t>
            </w:r>
            <w:r>
              <w:t xml:space="preserve"> </w:t>
            </w:r>
            <w:r>
              <w:t xml:space="preserve">attribute-driven access in Entra rather than recreating an OU-driven model</w:t>
            </w:r>
            <w:r>
              <w:t xml:space="preserve"> </w:t>
            </w:r>
            <w:r>
              <w:t xml:space="preserve">there, because that is where all of the substrate’s leverage sits.</w:t>
            </w:r>
          </w:p>
          <w:p/>
        </w:tc>
      </w:tr>
    </w:tbl>
    <w:bookmarkStart w:id="14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The Active Directory → Entra ID migration is the most architecturally</w:t>
      </w:r>
      <w:r>
        <w:t xml:space="preserve"> </w:t>
      </w:r>
      <w:r>
        <w:t xml:space="preserve">consequential modernization most federal agencies will execute this</w:t>
      </w:r>
      <w:r>
        <w:t xml:space="preserve"> </w:t>
      </w:r>
      <w:r>
        <w:t xml:space="preserve">decade. It moves identity from a perimeter-administered, OU-hierarchical</w:t>
      </w:r>
      <w:r>
        <w:t xml:space="preserve"> </w:t>
      </w:r>
      <w:r>
        <w:t xml:space="preserve">directory into a cloud-native, attribute-driven identity plane — and in</w:t>
      </w:r>
      <w:r>
        <w:t xml:space="preserve"> </w:t>
      </w:r>
      <w:r>
        <w:t xml:space="preserve">doing so changes what</w:t>
      </w:r>
      <w:r>
        <w:t xml:space="preserve"> </w:t>
      </w:r>
      <w:r>
        <w:t xml:space="preserve">“authoritative”</w:t>
      </w:r>
      <w:r>
        <w:t xml:space="preserve"> </w:t>
      </w:r>
      <w:r>
        <w:t xml:space="preserve">means for downstream addressing,</w:t>
      </w:r>
      <w:r>
        <w:t xml:space="preserve"> </w:t>
      </w:r>
      <w:r>
        <w:t xml:space="preserve">network, telemetry, and compliance planes.</w:t>
      </w:r>
    </w:p>
    <w:p>
      <w:pPr>
        <w:pStyle w:val="BodyText"/>
      </w:pPr>
      <w:r>
        <w:t xml:space="preserve">Most agency programs treat the migration as a tools project: deploy</w:t>
      </w:r>
      <w:r>
        <w:t xml:space="preserve"> </w:t>
      </w:r>
      <w:r>
        <w:t xml:space="preserve">Entra Connect, run hybrid sync, extend MFA, retire on-premises domain</w:t>
      </w:r>
      <w:r>
        <w:t xml:space="preserve"> </w:t>
      </w:r>
      <w:r>
        <w:t xml:space="preserve">controllers. FMP’s position is that this framing is structurally</w:t>
      </w:r>
      <w:r>
        <w:t xml:space="preserve"> </w:t>
      </w:r>
      <w:r>
        <w:t xml:space="preserve">incomplete: migration is an</w:t>
      </w:r>
      <w:r>
        <w:t xml:space="preserve"> </w:t>
      </w:r>
      <w:r>
        <w:rPr>
          <w:b/>
          <w:bCs/>
        </w:rPr>
        <w:t xml:space="preserve">architectural inversion</w:t>
      </w:r>
      <w:r>
        <w:t xml:space="preserve"> </w:t>
      </w:r>
      <w:r>
        <w:t xml:space="preserve">of the identity</w:t>
      </w:r>
      <w:r>
        <w:t xml:space="preserve"> </w:t>
      </w:r>
      <w:r>
        <w:t xml:space="preserve">plane, and an agency that runs it as a tools project will inherit the</w:t>
      </w:r>
      <w:r>
        <w:t xml:space="preserve"> </w:t>
      </w:r>
      <w:r>
        <w:t xml:space="preserve">old directory’s hierarchical assumptions in the new tenant — and lose</w:t>
      </w:r>
      <w:r>
        <w:t xml:space="preserve"> </w:t>
      </w:r>
      <w:r>
        <w:t xml:space="preserve">most of the cloud-native value.</w:t>
      </w:r>
    </w:p>
    <w:p>
      <w:pPr>
        <w:pStyle w:val="BodyText"/>
      </w:pPr>
      <w:r>
        <w:t xml:space="preserve">This whitepaper explains what changes structurally, why governance must</w:t>
      </w:r>
      <w:r>
        <w:t xml:space="preserve"> </w:t>
      </w:r>
      <w:r>
        <w:t xml:space="preserve">lead the migration rather than follow it, and how FMP’s substrate</w:t>
      </w:r>
      <w:r>
        <w:t xml:space="preserve"> </w:t>
      </w:r>
      <w:r>
        <w:t xml:space="preserve">provides the canonical fabric that makes the migration a one-way</w:t>
      </w:r>
      <w:r>
        <w:t xml:space="preserve"> </w:t>
      </w:r>
      <w:r>
        <w:t xml:space="preserve">modernization rather than a reversible re-platforming.</w:t>
      </w:r>
    </w:p>
    <w:p>
      <w:pPr>
        <w:pStyle w:val="BodyText"/>
      </w:pPr>
      <w:r>
        <w:t xml:space="preserve">The companion executive brief is</w:t>
      </w:r>
      <w:r>
        <w:t xml:space="preserve"> </w:t>
      </w:r>
      <w:hyperlink r:id="rId12">
        <w:r>
          <w:rPr>
            <w:rStyle w:val="Hyperlink"/>
          </w:rPr>
          <w:t xml:space="preserve">Modernization Overview</w:t>
        </w:r>
      </w:hyperlink>
      <w:r>
        <w:t xml:space="preserve">,</w:t>
      </w:r>
      <w:r>
        <w:t xml:space="preserve"> </w:t>
      </w:r>
      <w:r>
        <w:t xml:space="preserve">and the modernization pillar’s curated surfaces — the transformation</w:t>
      </w:r>
      <w:r>
        <w:t xml:space="preserve"> </w:t>
      </w:r>
      <w:r>
        <w:t xml:space="preserve">series and the adapter interfaces this paper’s approach rides on — are</w:t>
      </w:r>
      <w:r>
        <w:t xml:space="preserve"> </w:t>
      </w:r>
      <w:r>
        <w:t xml:space="preserve">collected at the OrgMod hub.</w:t>
      </w:r>
      <w:r>
        <w:t xml:space="preserve"> </w:t>
      </w:r>
      <w:r>
        <w:t xml:space="preserve">The migration’s specific failure-mode-and-fix is documented in</w:t>
      </w:r>
      <w:r>
        <w:t xml:space="preserve"> </w:t>
      </w:r>
      <w:hyperlink r:id="rId13">
        <w:r>
          <w:rPr>
            <w:rStyle w:val="Hyperlink"/>
          </w:rPr>
          <w:t xml:space="preserve">AD to Entra ID Migration Problem</w:t>
        </w:r>
      </w:hyperlink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t xml:space="preserve">substrate this paper names as FMP’s is the same one the the compliance series</w:t>
      </w:r>
      <w:r>
        <w:t xml:space="preserve"> </w:t>
      </w:r>
      <w:r>
        <w:t xml:space="preserve">series’ own</w:t>
      </w:r>
      <w:r>
        <w:t xml:space="preserve"> </w:t>
      </w:r>
      <w:r>
        <w:t xml:space="preserve">Vol X — Governance Substrate Integration Overview</w:t>
      </w:r>
      <w:r>
        <w:t xml:space="preserve"> </w:t>
      </w:r>
      <w:r>
        <w:t xml:space="preserve">documents from the product-neutral side — see §3 below.</w:t>
      </w:r>
    </w:p>
    <w:bookmarkEnd w:id="14"/>
    <w:bookmarkStart w:id="15" w:name="the-architectural-inversion"/>
    <w:p>
      <w:pPr>
        <w:pStyle w:val="Heading3"/>
      </w:pPr>
      <w:r>
        <w:t xml:space="preserve">1. The architectural inversion</w:t>
      </w:r>
    </w:p>
    <w:p>
      <w:pPr>
        <w:pStyle w:val="FirstParagraph"/>
      </w:pPr>
      <w:r>
        <w:t xml:space="preserve">On-premises Active Directory operates a</w:t>
      </w:r>
      <w:r>
        <w:t xml:space="preserve"> </w:t>
      </w:r>
      <w:r>
        <w:rPr>
          <w:i/>
          <w:iCs/>
        </w:rPr>
        <w:t xml:space="preserve">hierarchical placement</w:t>
      </w:r>
      <w:r>
        <w:t xml:space="preserve"> </w:t>
      </w:r>
      <w:r>
        <w:t xml:space="preserve">model:</w:t>
      </w:r>
      <w:r>
        <w:t xml:space="preserve"> </w:t>
      </w:r>
      <w:r>
        <w:t xml:space="preserve">identities are positioned within OUs, and access flows from that</w:t>
      </w:r>
      <w:r>
        <w:t xml:space="preserve"> </w:t>
      </w:r>
      <w:r>
        <w:t xml:space="preserve">placement. Entra ID operates an</w:t>
      </w:r>
      <w:r>
        <w:t xml:space="preserve"> </w:t>
      </w:r>
      <w:r>
        <w:rPr>
          <w:i/>
          <w:iCs/>
        </w:rPr>
        <w:t xml:space="preserve">attribute-driven</w:t>
      </w:r>
      <w:r>
        <w:t xml:space="preserve"> </w:t>
      </w:r>
      <w:r>
        <w:t xml:space="preserve">model: identities</w:t>
      </w:r>
      <w:r>
        <w:t xml:space="preserve"> </w:t>
      </w:r>
      <w:r>
        <w:t xml:space="preserve">carry attributes, and access is computed from those attributes by policy.</w:t>
      </w:r>
    </w:p>
    <w:p>
      <w:pPr>
        <w:pStyle w:val="BodyText"/>
      </w:pPr>
      <w:r>
        <w:t xml:space="preserve">The two models are not interchangeable. Five concrete consequences for</w:t>
      </w:r>
      <w:r>
        <w:t xml:space="preserve"> </w:t>
      </w:r>
      <w:r>
        <w:t xml:space="preserve">governance: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Movers stop being a manual workflow.</w:t>
      </w:r>
      <w:r>
        <w:t xml:space="preserve"> </w:t>
      </w:r>
      <w:r>
        <w:t xml:space="preserve">When attributes change, access</w:t>
      </w:r>
      <w:r>
        <w:t xml:space="preserve"> </w:t>
      </w:r>
      <w:r>
        <w:t xml:space="preserve">recomputes. There is no</w:t>
      </w:r>
      <w:r>
        <w:t xml:space="preserve"> </w:t>
      </w:r>
      <w:r>
        <w:t xml:space="preserve">“move the user OU and re-permission the</w:t>
      </w:r>
      <w:r>
        <w:t xml:space="preserve"> </w:t>
      </w:r>
      <w:r>
        <w:t xml:space="preserve">shared drive”</w:t>
      </w:r>
      <w:r>
        <w:t xml:space="preserve"> </w:t>
      </w:r>
      <w:r>
        <w:t xml:space="preserve">step — there are attributes and policies that</w:t>
      </w:r>
      <w:r>
        <w:t xml:space="preserve"> </w:t>
      </w:r>
      <w:r>
        <w:t xml:space="preserve">evaluate them.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Authoritative identity context becomes the primary engineering</w:t>
      </w:r>
      <w:r>
        <w:rPr>
          <w:b/>
          <w:bCs/>
        </w:rPr>
        <w:t xml:space="preserve"> </w:t>
      </w:r>
      <w:r>
        <w:rPr>
          <w:b/>
          <w:bCs/>
        </w:rPr>
        <w:t xml:space="preserve">artifact.</w:t>
      </w:r>
      <w:r>
        <w:t xml:space="preserve"> </w:t>
      </w:r>
      <w:r>
        <w:t xml:space="preserve">Wrong attributes produce wrong access; right attributes</w:t>
      </w:r>
      <w:r>
        <w:t xml:space="preserve"> </w:t>
      </w:r>
      <w:r>
        <w:t xml:space="preserve">produce right access. The directory’s quality becomes the program’s</w:t>
      </w:r>
      <w:r>
        <w:t xml:space="preserve"> </w:t>
      </w:r>
      <w:r>
        <w:t xml:space="preserve">quality.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Group membership shifts from administered to computed.</w:t>
      </w:r>
      <w:r>
        <w:t xml:space="preserve"> </w:t>
      </w:r>
      <w:r>
        <w:t xml:space="preserve">Dynamic</w:t>
      </w:r>
      <w:r>
        <w:t xml:space="preserve"> </w:t>
      </w:r>
      <w:r>
        <w:t xml:space="preserve">groups, administrative units, and conditional access rules all</w:t>
      </w:r>
      <w:r>
        <w:t xml:space="preserve"> </w:t>
      </w:r>
      <w:r>
        <w:t xml:space="preserve">consume attributes. Manual group administration is friction, not</w:t>
      </w:r>
      <w:r>
        <w:t xml:space="preserve"> </w:t>
      </w:r>
      <w:r>
        <w:t xml:space="preserve">governance.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boundary between identity and policy moves.</w:t>
      </w:r>
      <w:r>
        <w:t xml:space="preserve"> </w:t>
      </w:r>
      <w:r>
        <w:t xml:space="preserve">In AD, ACLs and</w:t>
      </w:r>
      <w:r>
        <w:t xml:space="preserve"> </w:t>
      </w:r>
      <w:r>
        <w:t xml:space="preserve">group memberships hold most policy. In Entra ID, conditional access,</w:t>
      </w:r>
      <w:r>
        <w:t xml:space="preserve"> </w:t>
      </w:r>
      <w:r>
        <w:t xml:space="preserve">PIM, and entitlement management hold policy — and identity is</w:t>
      </w:r>
      <w:r>
        <w:t xml:space="preserve"> </w:t>
      </w:r>
      <w:r>
        <w:t xml:space="preserve">purely attribute-bearing.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Drift surface changes.</w:t>
      </w:r>
      <w:r>
        <w:t xml:space="preserve"> </w:t>
      </w:r>
      <w:r>
        <w:t xml:space="preserve">Identity drift in AD looks like stale</w:t>
      </w:r>
      <w:r>
        <w:t xml:space="preserve"> </w:t>
      </w:r>
      <w:r>
        <w:t xml:space="preserve">group membership. Identity drift in Entra ID looks like stale or</w:t>
      </w:r>
      <w:r>
        <w:t xml:space="preserve"> </w:t>
      </w:r>
      <w:r>
        <w:t xml:space="preserve">inconsistent attributes feeding policy decisions. Both matter; the</w:t>
      </w:r>
      <w:r>
        <w:t xml:space="preserve"> </w:t>
      </w:r>
      <w:r>
        <w:t xml:space="preserve">detection mechanism is different.</w:t>
      </w:r>
    </w:p>
    <w:p>
      <w:pPr>
        <w:pStyle w:val="FirstParagraph"/>
      </w:pPr>
      <w:r>
        <w:t xml:space="preserve">Agencies that approach the migration as</w:t>
      </w:r>
      <w:r>
        <w:t xml:space="preserve"> </w:t>
      </w:r>
      <w:r>
        <w:t xml:space="preserve">“lift the existing directory</w:t>
      </w:r>
      <w:r>
        <w:t xml:space="preserve"> </w:t>
      </w:r>
      <w:r>
        <w:t xml:space="preserve">into the cloud”</w:t>
      </w:r>
      <w:r>
        <w:t xml:space="preserve"> </w:t>
      </w:r>
      <w:r>
        <w:t xml:space="preserve">inherit the OU-driven model in Entra ID and lose</w:t>
      </w:r>
      <w:r>
        <w:t xml:space="preserve"> </w:t>
      </w:r>
      <w:r>
        <w:t xml:space="preserve">attribute-driven value. FMP’s modernization-governance posture is that</w:t>
      </w:r>
      <w:r>
        <w:t xml:space="preserve"> </w:t>
      </w:r>
      <w:r>
        <w:t xml:space="preserve">the migration is the moment to make the inversion explicit and govern</w:t>
      </w:r>
      <w:r>
        <w:t xml:space="preserve"> </w:t>
      </w:r>
      <w:r>
        <w:t xml:space="preserve">it deliberately.</w:t>
      </w:r>
    </w:p>
    <w:bookmarkEnd w:id="15"/>
    <w:bookmarkStart w:id="16" w:name="why-governance-must-lead-not-follow"/>
    <w:p>
      <w:pPr>
        <w:pStyle w:val="Heading3"/>
      </w:pPr>
      <w:r>
        <w:t xml:space="preserve">2. Why governance must lead, not follow</w:t>
      </w:r>
    </w:p>
    <w:p>
      <w:pPr>
        <w:pStyle w:val="FirstParagraph"/>
      </w:pPr>
      <w:r>
        <w:t xml:space="preserve">A common federal pattern is to run the technical migration first, then</w:t>
      </w:r>
      <w:r>
        <w:t xml:space="preserve"> </w:t>
      </w:r>
      <w:r>
        <w:t xml:space="preserve">“layer governance on top”</w:t>
      </w:r>
      <w:r>
        <w:t xml:space="preserve"> </w:t>
      </w:r>
      <w:r>
        <w:t xml:space="preserve">once the new tenant is live. This pattern</w:t>
      </w:r>
      <w:r>
        <w:t xml:space="preserve"> </w:t>
      </w:r>
      <w:r>
        <w:t xml:space="preserve">fails for three structural reasons:</w:t>
      </w:r>
    </w:p>
    <w:p>
      <w:pPr>
        <w:pStyle w:val="BodyText"/>
      </w:pPr>
      <w:r>
        <w:rPr>
          <w:b/>
          <w:bCs/>
        </w:rPr>
        <w:t xml:space="preserve">Failure 1 — once attributes are wrong, every downstream decision is</w:t>
      </w:r>
      <w:r>
        <w:rPr>
          <w:b/>
          <w:bCs/>
        </w:rPr>
        <w:t xml:space="preserve"> </w:t>
      </w:r>
      <w:r>
        <w:rPr>
          <w:b/>
          <w:bCs/>
        </w:rPr>
        <w:t xml:space="preserve">wrong.</w:t>
      </w:r>
      <w:r>
        <w:t xml:space="preserve"> </w:t>
      </w:r>
      <w:r>
        <w:t xml:space="preserve">Attribute-driven identity makes the directory’s content</w:t>
      </w:r>
      <w:r>
        <w:t xml:space="preserve"> </w:t>
      </w:r>
      <w:r>
        <w:t xml:space="preserve">load-bearing. Migrating without canonical attribute definitions produces</w:t>
      </w:r>
      <w:r>
        <w:t xml:space="preserve"> </w:t>
      </w:r>
      <w:r>
        <w:t xml:space="preserve">a tenant that</w:t>
      </w:r>
      <w:r>
        <w:t xml:space="preserve"> </w:t>
      </w:r>
      <w:r>
        <w:rPr>
          <w:i/>
          <w:iCs/>
        </w:rPr>
        <w:t xml:space="preserve">works</w:t>
      </w:r>
      <w:r>
        <w:t xml:space="preserve"> </w:t>
      </w:r>
      <w:r>
        <w:t xml:space="preserve">but does not</w:t>
      </w:r>
      <w:r>
        <w:t xml:space="preserve"> </w:t>
      </w:r>
      <w:r>
        <w:rPr>
          <w:i/>
          <w:iCs/>
        </w:rPr>
        <w:t xml:space="preserve">govern</w:t>
      </w:r>
      <w:r>
        <w:t xml:space="preserve">; tightening governance</w:t>
      </w:r>
      <w:r>
        <w:t xml:space="preserve"> </w:t>
      </w:r>
      <w:r>
        <w:t xml:space="preserve">later means re-classifying every identity.</w:t>
      </w:r>
    </w:p>
    <w:p>
      <w:pPr>
        <w:pStyle w:val="BodyText"/>
      </w:pPr>
      <w:r>
        <w:rPr>
          <w:b/>
          <w:bCs/>
        </w:rPr>
        <w:t xml:space="preserve">Failure 2 — the addressing and telemetry planes drift first.</w:t>
      </w:r>
      <w:r>
        <w:t xml:space="preserve"> </w:t>
      </w:r>
      <w:r>
        <w:t xml:space="preserve">Identity-derived addressing and identity-correlated telemetry begin</w:t>
      </w:r>
      <w:r>
        <w:t xml:space="preserve"> </w:t>
      </w:r>
      <w:r>
        <w:t xml:space="preserve">emitting against the new tenant the moment it is live. If the identity</w:t>
      </w:r>
      <w:r>
        <w:t xml:space="preserve"> </w:t>
      </w:r>
      <w:r>
        <w:t xml:space="preserve">plane’s truth is not canonical at cutover, downstream evidence inherits</w:t>
      </w:r>
      <w:r>
        <w:t xml:space="preserve"> </w:t>
      </w:r>
      <w:r>
        <w:t xml:space="preserve">the inconsistency.</w:t>
      </w:r>
    </w:p>
    <w:p>
      <w:pPr>
        <w:pStyle w:val="BodyText"/>
      </w:pPr>
      <w:r>
        <w:rPr>
          <w:b/>
          <w:bCs/>
        </w:rPr>
        <w:t xml:space="preserve">Failure 3 — compliance evidence becomes uncorrelatable.</w:t>
      </w:r>
      <w:r>
        <w:t xml:space="preserve"> </w:t>
      </w:r>
      <w:r>
        <w:t xml:space="preserve">SSPs</w:t>
      </w:r>
      <w:r>
        <w:t xml:space="preserve"> </w:t>
      </w:r>
      <w:r>
        <w:t xml:space="preserve">authored against the old directory cannot be regenerated against the</w:t>
      </w:r>
      <w:r>
        <w:t xml:space="preserve"> </w:t>
      </w:r>
      <w:r>
        <w:t xml:space="preserve">new tenant if the canonical claim definitions changed. Every ATO touch</w:t>
      </w:r>
      <w:r>
        <w:t xml:space="preserve"> </w:t>
      </w:r>
      <w:r>
        <w:t xml:space="preserve">becomes a re-engineering exercise.</w:t>
      </w:r>
    </w:p>
    <w:p>
      <w:pPr>
        <w:pStyle w:val="BodyText"/>
      </w:pPr>
      <w:r>
        <w:t xml:space="preserve">The FMP approach is to</w:t>
      </w:r>
      <w:r>
        <w:t xml:space="preserve"> </w:t>
      </w:r>
      <w:r>
        <w:rPr>
          <w:b/>
          <w:bCs/>
        </w:rPr>
        <w:t xml:space="preserve">canonize the identity plane before cutover</w:t>
      </w:r>
      <w:r>
        <w:t xml:space="preserve"> </w:t>
      </w:r>
      <w:r>
        <w:t xml:space="preserve">—</w:t>
      </w:r>
      <w:r>
        <w:t xml:space="preserve"> </w:t>
      </w:r>
      <w:r>
        <w:t xml:space="preserve">declare the attribute model, the group computation rules, and the</w:t>
      </w:r>
      <w:r>
        <w:t xml:space="preserve"> </w:t>
      </w:r>
      <w:r>
        <w:t xml:space="preserve">provenance envelope in</w:t>
      </w:r>
      <w:r>
        <w:t xml:space="preserve"> </w:t>
      </w:r>
      <w:r>
        <w:rPr>
          <w:rStyle w:val="VerbatimChar"/>
        </w:rPr>
        <w:t xml:space="preserve">src/fmp/canon/</w:t>
      </w:r>
      <w:r>
        <w:t xml:space="preserve"> </w:t>
      </w:r>
      <w:r>
        <w:t xml:space="preserve">— so the migration is a</w:t>
      </w:r>
      <w:r>
        <w:t xml:space="preserve"> </w:t>
      </w:r>
      <w:r>
        <w:t xml:space="preserve">substrate change rather than a tooling change.</w:t>
      </w:r>
    </w:p>
    <w:bookmarkEnd w:id="16"/>
    <w:bookmarkStart w:id="17" w:name="the-substrates-role-in-migration"/>
    <w:p>
      <w:pPr>
        <w:pStyle w:val="Heading3"/>
      </w:pPr>
      <w:r>
        <w:t xml:space="preserve">3. The substrate’s role in migration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FMP substrate provides four</w:t>
      </w:r>
      <w:r>
        <w:t xml:space="preserve"> </w:t>
      </w:r>
      <w:r>
        <w:t xml:space="preserve">structural mechanisms that make the migration tractable: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Mechanism</w:t>
            </w:r>
          </w:p>
        </w:tc>
        <w:tc>
          <w:tcPr/>
          <w:p>
            <w:pPr>
              <w:pStyle w:val="Compact"/>
            </w:pPr>
            <w:r>
              <w:t xml:space="preserve">Migration role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Canon SSOT</w:t>
            </w:r>
          </w:p>
        </w:tc>
        <w:tc>
          <w:tcPr/>
          <w:p>
            <w:pPr>
              <w:pStyle w:val="Compact"/>
            </w:pPr>
            <w:r>
              <w:t xml:space="preserve">The attribute model lives in canon, not in the directory. Migrating the tenant does not migrate the model.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Modernization adapters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modernization-registry.yaml</w:t>
            </w:r>
            <w:r>
              <w:t xml:space="preserve"> </w:t>
            </w:r>
            <w:r>
              <w:t xml:space="preserve">(28 entries) declares change-making adapters, including first-class</w:t>
            </w:r>
            <w:r>
              <w:t xml:space="preserve"> </w:t>
            </w:r>
            <w:r>
              <w:rPr>
                <w:rStyle w:val="VerbatimChar"/>
              </w:rPr>
              <w:t xml:space="preserve">bluecat-address-manager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infoblox</w:t>
            </w:r>
            <w:r>
              <w:t xml:space="preserve"> </w:t>
            </w:r>
            <w:r>
              <w:t xml:space="preserve">adapters for the addressing plane. Each maps a piece of pre-migration infrastructure to its post-migration target.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Provenance envelope</w:t>
            </w:r>
          </w:p>
        </w:tc>
        <w:tc>
          <w:tcPr/>
          <w:p>
            <w:pPr>
              <w:pStyle w:val="Compact"/>
            </w:pPr>
            <w:r>
              <w:t xml:space="preserve">Identity claims emitted during and after migration carry</w:t>
            </w:r>
            <w:r>
              <w:t xml:space="preserve"> </w:t>
            </w:r>
            <w:r>
              <w:rPr>
                <w:rStyle w:val="VerbatimChar"/>
              </w:rPr>
              <w:t xml:space="preserve">source_classification</w:t>
            </w:r>
            <w:r>
              <w:t xml:space="preserve"> </w:t>
            </w:r>
            <w:r>
              <w:t xml:space="preserve">(authoritative / derived / synthesized), making the migration’s evidence reproducibly classifiable.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Drift engine</w:t>
            </w:r>
          </w:p>
        </w:tc>
        <w:tc>
          <w:tcPr/>
          <w:p>
            <w:pPr>
              <w:pStyle w:val="Compact"/>
            </w:pPr>
            <w:r>
              <w:t xml:space="preserve">Schema and provenance drift surface attribute or group-rule mismatches in CI; runtime detection for identity and authorization drift is partially implemented and maturing.</w:t>
            </w:r>
          </w:p>
        </w:tc>
      </w:tr>
    </w:tbl>
    <w:p>
      <w:pPr>
        <w:pStyle w:val="BodyText"/>
      </w:pPr>
      <w:r>
        <w:t xml:space="preserve">Because canon is the source of truth, the migration’s evidence does not</w:t>
      </w:r>
      <w:r>
        <w:t xml:space="preserve"> </w:t>
      </w:r>
      <w:r>
        <w:t xml:space="preserve">have to be assembled from the directory’s state — it can be regenerated</w:t>
      </w:r>
      <w:r>
        <w:t xml:space="preserve"> </w:t>
      </w:r>
      <w:r>
        <w:t xml:space="preserve">from canon plus telemetry, deterministically, before</w:t>
      </w:r>
      <w:r>
        <w:t xml:space="preserve"> </w:t>
      </w:r>
      <w:r>
        <w:rPr>
          <w:i/>
          <w:iCs/>
        </w:rPr>
        <w:t xml:space="preserve">and</w:t>
      </w:r>
      <w:r>
        <w:t xml:space="preserve"> </w:t>
      </w:r>
      <w:r>
        <w:t xml:space="preserve">after cutover.</w:t>
      </w:r>
    </w:p>
    <w:p>
      <w:pPr>
        <w:pStyle w:val="BodyText"/>
      </w:pPr>
      <w:r>
        <w:t xml:space="preserve">The same four mechanisms are what Vol X of the Federal Compliance series</w:t>
      </w:r>
      <w:r>
        <w:t xml:space="preserve"> </w:t>
      </w:r>
      <w:r>
        <w:t xml:space="preserve">calls, without naming FMP,</w:t>
      </w:r>
      <w:r>
        <w:t xml:space="preserve"> </w:t>
      </w:r>
      <w:r>
        <w:t xml:space="preserve">“a governance substrate that sits underneath</w:t>
      </w:r>
      <w:r>
        <w:t xml:space="preserve"> </w:t>
      </w:r>
      <w:r>
        <w:t xml:space="preserve">the whole series… general-purpose… not itself tied to this series.”</w:t>
      </w:r>
      <w:r>
        <w:t xml:space="preserve"> </w:t>
      </w:r>
      <w:r>
        <w:t xml:space="preserve">Vol X’s canon SSOT and drift-gate mechanics bind the the compliance series series’ own</w:t>
      </w:r>
      <w:r>
        <w:t xml:space="preserve"> </w:t>
      </w:r>
      <w:r>
        <w:t xml:space="preserve">Identity-slot evidence (organizational-user authentication, account</w:t>
      </w:r>
      <w:r>
        <w:t xml:space="preserve"> </w:t>
      </w:r>
      <w:r>
        <w:t xml:space="preserve">management, device identity) to the same substrate this migration’s</w:t>
      </w:r>
      <w:r>
        <w:t xml:space="preserve"> </w:t>
      </w:r>
      <w:r>
        <w:t xml:space="preserve">provenance envelope depends on — a second, independently-authored corpus</w:t>
      </w:r>
      <w:r>
        <w:t xml:space="preserve"> </w:t>
      </w:r>
      <w:r>
        <w:t xml:space="preserve">proving the substrate carries a regime it was never written for, which</w:t>
      </w:r>
      <w:r>
        <w:t xml:space="preserve"> </w:t>
      </w:r>
      <w:r>
        <w:t xml:space="preserve">is the concrete version of this paper’s</w:t>
      </w:r>
      <w:r>
        <w:t xml:space="preserve"> </w:t>
      </w:r>
      <w:r>
        <w:t xml:space="preserve">“canon, not the directory, is</w:t>
      </w:r>
      <w:r>
        <w:t xml:space="preserve"> </w:t>
      </w:r>
      <w:r>
        <w:t xml:space="preserve">the source of truth”</w:t>
      </w:r>
      <w:r>
        <w:t xml:space="preserve"> </w:t>
      </w:r>
      <w:r>
        <w:t xml:space="preserve">claim above.</w:t>
      </w:r>
    </w:p>
    <w:bookmarkEnd w:id="17"/>
    <w:bookmarkStart w:id="19" w:name="phased-modernization"/>
    <w:p>
      <w:pPr>
        <w:pStyle w:val="Heading3"/>
      </w:pPr>
      <w:r>
        <w:t xml:space="preserve">4. Phased modernization</w:t>
      </w:r>
    </w:p>
    <w:p>
      <w:pPr>
        <w:pStyle w:val="FirstParagraph"/>
      </w:pPr>
      <w:r>
        <w:t xml:space="preserve">The substrate’s</w:t>
      </w:r>
      <w:r>
        <w:t xml:space="preserve"> </w:t>
      </w:r>
      <w:r>
        <w:t xml:space="preserve">Modernization Timeline is the</w:t>
      </w:r>
      <w:r>
        <w:t xml:space="preserve"> </w:t>
      </w:r>
      <w:r>
        <w:t xml:space="preserve">canonical month-by-month program plan (six months, workstreams A–D). The</w:t>
      </w:r>
      <w:r>
        <w:t xml:space="preserve"> </w:t>
      </w:r>
      <w:r>
        <w:t xml:space="preserve">five phases below are this paper’s distillation of how governance</w:t>
      </w:r>
      <w:r>
        <w:t xml:space="preserve"> </w:t>
      </w:r>
      <w:r>
        <w:t xml:space="preserve">sequences within that plan: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Canon-first phase.</w:t>
      </w:r>
      <w:r>
        <w:t xml:space="preserve"> </w:t>
      </w:r>
      <w:r>
        <w:t xml:space="preserve">Author the attribute model, group computation</w:t>
      </w:r>
      <w:r>
        <w:t xml:space="preserve"> </w:t>
      </w:r>
      <w:r>
        <w:t xml:space="preserve">rules, and provenance envelope in</w:t>
      </w:r>
      <w:r>
        <w:t xml:space="preserve"> </w:t>
      </w:r>
      <w:r>
        <w:rPr>
          <w:rStyle w:val="VerbatimChar"/>
        </w:rPr>
        <w:t xml:space="preserve">src/fmp/canon/</w:t>
      </w:r>
      <w:r>
        <w:t xml:space="preserve">. The substrate</w:t>
      </w:r>
      <w:r>
        <w:t xml:space="preserve"> </w:t>
      </w:r>
      <w:r>
        <w:t xml:space="preserve">walker passes against the new canon before any runtime change.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Modernization-adapter phase.</w:t>
      </w:r>
      <w:r>
        <w:t xml:space="preserve"> </w:t>
      </w:r>
      <w:r>
        <w:t xml:space="preserve">Stand up the modernization adapters</w:t>
      </w:r>
      <w:r>
        <w:t xml:space="preserve"> </w:t>
      </w:r>
      <w:r>
        <w:t xml:space="preserve">for identity (Entra ID), addressing (BlueCat / Infoblox), and the</w:t>
      </w:r>
      <w:r>
        <w:t xml:space="preserve"> </w:t>
      </w:r>
      <w:r>
        <w:t xml:space="preserve">telemetry surface required to correlate them. Adapters emit</w:t>
      </w:r>
      <w:r>
        <w:t xml:space="preserve"> </w:t>
      </w:r>
      <w:r>
        <w:t xml:space="preserve">canonical claims with full provenance from day one.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Compensating-enforcement phase.</w:t>
      </w:r>
      <w:r>
        <w:t xml:space="preserve"> </w:t>
      </w:r>
      <w:r>
        <w:t xml:space="preserve">Where platform features are</w:t>
      </w:r>
      <w:r>
        <w:t xml:space="preserve"> </w:t>
      </w:r>
      <w:r>
        <w:t xml:space="preserve">unavailable (especially in GCC-Moderate per the</w:t>
      </w:r>
      <w:r>
        <w:t xml:space="preserve"> </w:t>
      </w:r>
      <w:hyperlink r:id="rId18">
        <w:r>
          <w:rPr>
            <w:rStyle w:val="Hyperlink"/>
          </w:rPr>
          <w:t xml:space="preserve">Boundary Impact Model</w:t>
        </w:r>
      </w:hyperlink>
      <w:r>
        <w:t xml:space="preserve">),</w:t>
      </w:r>
      <w:r>
        <w:t xml:space="preserve"> </w:t>
      </w:r>
      <w:r>
        <w:t xml:space="preserve">stand up compensating enforcement adapters whose evidence flows</w:t>
      </w:r>
      <w:r>
        <w:t xml:space="preserve"> </w:t>
      </w:r>
      <w:r>
        <w:t xml:space="preserve">through the same chain.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Cutover.</w:t>
      </w:r>
      <w:r>
        <w:t xml:space="preserve"> </w:t>
      </w:r>
      <w:r>
        <w:t xml:space="preserve">The directory transition is itself a substrate event:</w:t>
      </w:r>
      <w:r>
        <w:t xml:space="preserve"> </w:t>
      </w:r>
      <w:r>
        <w:t xml:space="preserve">the identity plane’s authoritative source switches from on-prem AD</w:t>
      </w:r>
      <w:r>
        <w:t xml:space="preserve"> </w:t>
      </w:r>
      <w:r>
        <w:t xml:space="preserve">to Entra ID, with canon already in place to interpret post-cutover</w:t>
      </w:r>
      <w:r>
        <w:t xml:space="preserve"> </w:t>
      </w:r>
      <w:r>
        <w:t xml:space="preserve">claims.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Drift-driven cleanup.</w:t>
      </w:r>
      <w:r>
        <w:t xml:space="preserve"> </w:t>
      </w:r>
      <w:r>
        <w:t xml:space="preserve">Post-cutover, the drift engine surfaces</w:t>
      </w:r>
      <w:r>
        <w:t xml:space="preserve"> </w:t>
      </w:r>
      <w:r>
        <w:t xml:space="preserve">inherited inconsistencies (stale attributes, dangling group rules,</w:t>
      </w:r>
      <w:r>
        <w:t xml:space="preserve"> </w:t>
      </w:r>
      <w:r>
        <w:t xml:space="preserve">broken provenance chains). Each is a tracked finding with a</w:t>
      </w:r>
      <w:r>
        <w:t xml:space="preserve"> </w:t>
      </w:r>
      <w:r>
        <w:t xml:space="preserve">remediation contract, not a discovery exercise.</w:t>
      </w:r>
    </w:p>
    <w:p>
      <w:pPr>
        <w:pStyle w:val="FirstParagraph"/>
      </w:pPr>
      <w:r>
        <w:t xml:space="preserve">Steps 1–3 are governance-led. Step 4 is the technical event most</w:t>
      </w:r>
      <w:r>
        <w:t xml:space="preserve"> </w:t>
      </w:r>
      <w:r>
        <w:t xml:space="preserve">programs treat as the migration. Step 5 is what determines whether the</w:t>
      </w:r>
      <w:r>
        <w:t xml:space="preserve"> </w:t>
      </w:r>
      <w:r>
        <w:t xml:space="preserve">migration delivers cloud-native value.</w:t>
      </w:r>
    </w:p>
    <w:p>
      <w:pPr>
        <w:pStyle w:val="BodyText"/>
      </w:pPr>
      <w:r>
        <w:rPr>
          <w:b/>
          <w:bCs/>
        </w:rPr>
        <w:t xml:space="preserve">Walking one attribute through all five phases.</w:t>
      </w:r>
      <w:r>
        <w:t xml:space="preserve"> </w:t>
      </w:r>
      <w:r>
        <w:t xml:space="preserve">The phases above are</w:t>
      </w:r>
      <w:r>
        <w:t xml:space="preserve"> </w:t>
      </w:r>
      <w:r>
        <w:t xml:space="preserve">sequenced abstractly; concretely, here is what happens to a single</w:t>
      </w:r>
      <w:r>
        <w:t xml:space="preserve"> </w:t>
      </w:r>
      <w:r>
        <w:t xml:space="preserve">authoritative attribute —</w:t>
      </w:r>
      <w:r>
        <w:t xml:space="preserve"> </w:t>
      </w:r>
      <w:r>
        <w:rPr>
          <w:b/>
          <w:bCs/>
        </w:rPr>
        <w:t xml:space="preserve">classification clearance</w:t>
      </w:r>
      <w:r>
        <w:t xml:space="preserve"> </w:t>
      </w:r>
      <w:r>
        <w:t xml:space="preserve">— from canon</w:t>
      </w:r>
      <w:r>
        <w:t xml:space="preserve"> </w:t>
      </w:r>
      <w:r>
        <w:t xml:space="preserve">authoring through post-cutover cleanup: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Canon-first.</w:t>
      </w:r>
      <w:r>
        <w:t xml:space="preserve"> </w:t>
      </w:r>
      <w:r>
        <w:t xml:space="preserve">Classification clearance is authored in</w:t>
      </w:r>
      <w:r>
        <w:t xml:space="preserve"> </w:t>
      </w:r>
      <w:r>
        <w:rPr>
          <w:rStyle w:val="VerbatimChar"/>
        </w:rPr>
        <w:t xml:space="preserve">src/fmp/canon/</w:t>
      </w:r>
      <w:r>
        <w:t xml:space="preserve"> </w:t>
      </w:r>
      <w:r>
        <w:t xml:space="preserve">as an authoritative attribute: its</w:t>
      </w:r>
      <w:r>
        <w:t xml:space="preserve"> </w:t>
      </w:r>
      <w:r>
        <w:t xml:space="preserve">allowed values, its authoritative source (the HR/personnel system of</w:t>
      </w:r>
      <w:r>
        <w:t xml:space="preserve"> </w:t>
      </w:r>
      <w:r>
        <w:t xml:space="preserve">record), and the policies permitted to consume it are declared</w:t>
      </w:r>
      <w:r>
        <w:t xml:space="preserve"> </w:t>
      </w:r>
      <w:r>
        <w:t xml:space="preserve">before any tenant work begins.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Modernization-adapter.</w:t>
      </w:r>
      <w:r>
        <w:t xml:space="preserve"> </w:t>
      </w:r>
      <w:r>
        <w:t xml:space="preserve">The identity adapter for Entra ID is</w:t>
      </w:r>
      <w:r>
        <w:t xml:space="preserve"> </w:t>
      </w:r>
      <w:r>
        <w:t xml:space="preserve">configured to read classification clearance from its authoritative</w:t>
      </w:r>
      <w:r>
        <w:t xml:space="preserve"> </w:t>
      </w:r>
      <w:r>
        <w:t xml:space="preserve">source and write it into the tenant as a directory attribute,</w:t>
      </w:r>
      <w:r>
        <w:t xml:space="preserve"> </w:t>
      </w:r>
      <w:r>
        <w:t xml:space="preserve">emitting a canonical claim with a</w:t>
      </w:r>
      <w:r>
        <w:t xml:space="preserve"> </w:t>
      </w:r>
      <w:r>
        <w:rPr>
          <w:rStyle w:val="VerbatimChar"/>
        </w:rPr>
        <w:t xml:space="preserve">source_classification:  authoritative</w:t>
      </w:r>
      <w:r>
        <w:t xml:space="preserve"> </w:t>
      </w:r>
      <w:r>
        <w:t xml:space="preserve">provenance tag from the first sync.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Compensating-enforcement.</w:t>
      </w:r>
      <w:r>
        <w:t xml:space="preserve"> </w:t>
      </w:r>
      <w:r>
        <w:t xml:space="preserve">Where a GCC-Moderate boundary gap</w:t>
      </w:r>
      <w:r>
        <w:t xml:space="preserve"> </w:t>
      </w:r>
      <w:r>
        <w:t xml:space="preserve">means Entra ID cannot itself enforce a classification-scoped</w:t>
      </w:r>
      <w:r>
        <w:t xml:space="preserve"> </w:t>
      </w:r>
      <w:r>
        <w:t xml:space="preserve">conditional access rule, a compensating enforcement adapter</w:t>
      </w:r>
      <w:r>
        <w:t xml:space="preserve"> </w:t>
      </w:r>
      <w:r>
        <w:t xml:space="preserve">evaluates the same attribute against the same canonical policy and</w:t>
      </w:r>
      <w:r>
        <w:t xml:space="preserve"> </w:t>
      </w:r>
      <w:r>
        <w:t xml:space="preserve">emits evidence in the same shape — so the AO sees one continuous</w:t>
      </w:r>
      <w:r>
        <w:t xml:space="preserve"> </w:t>
      </w:r>
      <w:r>
        <w:t xml:space="preserve">claim regardless of which layer enforced it.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Cutover.</w:t>
      </w:r>
      <w:r>
        <w:t xml:space="preserve"> </w:t>
      </w:r>
      <w:r>
        <w:t xml:space="preserve">At the AO checkpoint, classification clearance’s</w:t>
      </w:r>
      <w:r>
        <w:t xml:space="preserve"> </w:t>
      </w:r>
      <w:r>
        <w:t xml:space="preserve">authoritative source switches from the on-prem AD attribute to the</w:t>
      </w:r>
      <w:r>
        <w:t xml:space="preserve"> </w:t>
      </w:r>
      <w:r>
        <w:t xml:space="preserve">Entra ID directory attribute. Because the attribute’s definition</w:t>
      </w:r>
      <w:r>
        <w:t xml:space="preserve"> </w:t>
      </w:r>
      <w:r>
        <w:t xml:space="preserve">lives in canon and did not change at cutover, only its supplying</w:t>
      </w:r>
      <w:r>
        <w:t xml:space="preserve"> </w:t>
      </w:r>
      <w:r>
        <w:t xml:space="preserve">system did, this is a single auditable event rather than a</w:t>
      </w:r>
      <w:r>
        <w:t xml:space="preserve"> </w:t>
      </w:r>
      <w:r>
        <w:t xml:space="preserve">re-classification exercise.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Drift-driven cleanup.</w:t>
      </w:r>
      <w:r>
        <w:t xml:space="preserve"> </w:t>
      </w:r>
      <w:r>
        <w:t xml:space="preserve">Post-cutover, the drift engine compares</w:t>
      </w:r>
      <w:r>
        <w:t xml:space="preserve"> </w:t>
      </w:r>
      <w:r>
        <w:t xml:space="preserve">classification-clearance values and their provenance chains against</w:t>
      </w:r>
      <w:r>
        <w:t xml:space="preserve"> </w:t>
      </w:r>
      <w:r>
        <w:t xml:space="preserve">canon. A record whose AD-era clearance value never migrated</w:t>
      </w:r>
      <w:r>
        <w:t xml:space="preserve"> </w:t>
      </w:r>
      <w:r>
        <w:t xml:space="preserve">cleanly, or whose provenance chain breaks between HR system and</w:t>
      </w:r>
      <w:r>
        <w:t xml:space="preserve"> </w:t>
      </w:r>
      <w:r>
        <w:t xml:space="preserve">tenant, surfaces as a tracked finding with a remediation contract —</w:t>
      </w:r>
      <w:r>
        <w:t xml:space="preserve"> </w:t>
      </w:r>
      <w:r>
        <w:t xml:space="preserve">not a silent access-control error discovered later.</w:t>
      </w:r>
    </w:p>
    <w:bookmarkEnd w:id="19"/>
    <w:bookmarkStart w:id="20" w:name="what-this-means-for-an-ato-package"/>
    <w:p>
      <w:pPr>
        <w:pStyle w:val="Heading3"/>
      </w:pPr>
      <w:r>
        <w:t xml:space="preserve">5. What this means for an ATO package</w:t>
      </w:r>
    </w:p>
    <w:p>
      <w:pPr>
        <w:pStyle w:val="FirstParagraph"/>
      </w:pPr>
      <w:r>
        <w:t xml:space="preserve">A governance-led migration produces an ATO package the AO can review</w:t>
      </w:r>
      <w:r>
        <w:t xml:space="preserve"> </w:t>
      </w:r>
      <w:r>
        <w:rPr>
          <w:i/>
          <w:iCs/>
        </w:rPr>
        <w:t xml:space="preserve">continuously</w:t>
      </w:r>
      <w:r>
        <w:t xml:space="preserve"> </w:t>
      </w:r>
      <w:r>
        <w:t xml:space="preserve">through the migration rather than at the end:</w:t>
      </w:r>
    </w:p>
    <w:p>
      <w:pPr>
        <w:pStyle w:val="Compact"/>
        <w:numPr>
          <w:ilvl w:val="0"/>
          <w:numId w:val="1004"/>
        </w:numPr>
      </w:pPr>
      <w:r>
        <w:t xml:space="preserve">Canon citations for every attribute and policy intent.</w:t>
      </w:r>
    </w:p>
    <w:p>
      <w:pPr>
        <w:pStyle w:val="Compact"/>
        <w:numPr>
          <w:ilvl w:val="0"/>
          <w:numId w:val="1004"/>
        </w:numPr>
      </w:pPr>
      <w:r>
        <w:t xml:space="preserve">Modernization adapter findings emitted into OSCAL throughout the</w:t>
      </w:r>
      <w:r>
        <w:t xml:space="preserve"> </w:t>
      </w:r>
      <w:r>
        <w:t xml:space="preserve">migration, not just post-cutover.</w:t>
      </w:r>
    </w:p>
    <w:p>
      <w:pPr>
        <w:pStyle w:val="Compact"/>
        <w:numPr>
          <w:ilvl w:val="0"/>
          <w:numId w:val="1004"/>
        </w:numPr>
      </w:pPr>
      <w:r>
        <w:t xml:space="preserve">Drift findings (and remediations) per migration phase, scoped to</w:t>
      </w:r>
      <w:r>
        <w:t xml:space="preserve"> </w:t>
      </w:r>
      <w:r>
        <w:t xml:space="preserve">plane and layer.</w:t>
      </w:r>
    </w:p>
    <w:p>
      <w:pPr>
        <w:pStyle w:val="Compact"/>
        <w:numPr>
          <w:ilvl w:val="0"/>
          <w:numId w:val="1004"/>
        </w:numPr>
      </w:pPr>
      <w:r>
        <w:t xml:space="preserve">Boundary-aware evidence: GCC-Moderate feature gaps are first-class</w:t>
      </w:r>
      <w:r>
        <w:t xml:space="preserve"> </w:t>
      </w:r>
      <w:r>
        <w:t xml:space="preserve">findings rather than implicit constraints.</w:t>
      </w:r>
    </w:p>
    <w:p>
      <w:pPr>
        <w:pStyle w:val="FirstParagraph"/>
      </w:pPr>
      <w:r>
        <w:t xml:space="preserve">The AO does not have to wait for cutover to evaluate the program’s</w:t>
      </w:r>
      <w:r>
        <w:t xml:space="preserve"> </w:t>
      </w:r>
      <w:r>
        <w:t xml:space="preserve">identity posture. Each phase emits evidence the AO can consume, and the</w:t>
      </w:r>
      <w:r>
        <w:t xml:space="preserve"> </w:t>
      </w:r>
      <w:r>
        <w:t xml:space="preserve">phase’s drift findings are themselves a measure of program quality.</w:t>
      </w:r>
    </w:p>
    <w:bookmarkEnd w:id="20"/>
    <w:bookmarkStart w:id="21" w:name="honest-limits"/>
    <w:p>
      <w:pPr>
        <w:pStyle w:val="Heading3"/>
      </w:pPr>
      <w:r>
        <w:t xml:space="preserve">6. Honest limits</w:t>
      </w:r>
    </w:p>
    <w:p>
      <w:pPr>
        <w:pStyle w:val="Compact"/>
        <w:numPr>
          <w:ilvl w:val="0"/>
          <w:numId w:val="1005"/>
        </w:numPr>
      </w:pPr>
      <w:r>
        <w:t xml:space="preserve">The migration is a multi-quarter program for a typical federal</w:t>
      </w:r>
      <w:r>
        <w:t xml:space="preserve"> </w:t>
      </w:r>
      <w:r>
        <w:t xml:space="preserve">agency. FMP compresses the</w:t>
      </w:r>
      <w:r>
        <w:t xml:space="preserve"> </w:t>
      </w:r>
      <w:r>
        <w:rPr>
          <w:i/>
          <w:iCs/>
        </w:rPr>
        <w:t xml:space="preserve">governance</w:t>
      </w:r>
      <w:r>
        <w:t xml:space="preserve"> </w:t>
      </w:r>
      <w:r>
        <w:t xml:space="preserve">timeline by canonizing the</w:t>
      </w:r>
      <w:r>
        <w:t xml:space="preserve"> </w:t>
      </w:r>
      <w:r>
        <w:t xml:space="preserve">model up front; it does not compress the technical migration.</w:t>
      </w:r>
    </w:p>
    <w:p>
      <w:pPr>
        <w:pStyle w:val="Compact"/>
        <w:numPr>
          <w:ilvl w:val="0"/>
          <w:numId w:val="1005"/>
        </w:numPr>
      </w:pPr>
      <w:r>
        <w:t xml:space="preserve">Several runtime drift classes (identity, authorization, semantic) are</w:t>
      </w:r>
      <w:r>
        <w:t xml:space="preserve"> </w:t>
      </w:r>
      <w:r>
        <w:t xml:space="preserve">only partially implemented today. Agencies in mid-migration will run</w:t>
      </w:r>
      <w:r>
        <w:t xml:space="preserve"> </w:t>
      </w:r>
      <w:r>
        <w:t xml:space="preserve">with schema and provenance drift coverage in CI plus partial runtime</w:t>
      </w:r>
      <w:r>
        <w:t xml:space="preserve"> </w:t>
      </w:r>
      <w:r>
        <w:t xml:space="preserve">coverage; full Optimal-grade runtime drift is engineering work</w:t>
      </w:r>
      <w:r>
        <w:t xml:space="preserve"> </w:t>
      </w:r>
      <w:r>
        <w:t xml:space="preserve">ahead.</w:t>
      </w:r>
    </w:p>
    <w:p>
      <w:pPr>
        <w:pStyle w:val="Compact"/>
        <w:numPr>
          <w:ilvl w:val="0"/>
          <w:numId w:val="1005"/>
        </w:numPr>
      </w:pPr>
      <w:r>
        <w:t xml:space="preserve">The approach is opinionated. Agencies that elect to keep an OU-driven model</w:t>
      </w:r>
      <w:r>
        <w:t xml:space="preserve"> </w:t>
      </w:r>
      <w:r>
        <w:t xml:space="preserve">in Entra ID can still use FMP, but they will not realize most of</w:t>
      </w:r>
      <w:r>
        <w:t xml:space="preserve"> </w:t>
      </w:r>
      <w:r>
        <w:t xml:space="preserve">the substrate’s value — the substrate’s leverage is in</w:t>
      </w:r>
      <w:r>
        <w:t xml:space="preserve"> </w:t>
      </w:r>
      <w:r>
        <w:t xml:space="preserve">attribute-driven access.</w:t>
      </w:r>
    </w:p>
    <w:bookmarkEnd w:id="21"/>
    <w:bookmarkStart w:id="22" w:name="conclusion"/>
    <w:p>
      <w:pPr>
        <w:pStyle w:val="Heading3"/>
      </w:pPr>
      <w:r>
        <w:t xml:space="preserve">7. Conclusion</w:t>
      </w:r>
    </w:p>
    <w:p>
      <w:pPr>
        <w:pStyle w:val="FirstParagraph"/>
      </w:pPr>
      <w:r>
        <w:t xml:space="preserve">The AD → Entra ID migration is one of the rare programs where doing it</w:t>
      </w:r>
      <w:r>
        <w:t xml:space="preserve"> </w:t>
      </w:r>
      <w:r>
        <w:t xml:space="preserve">right and doing it well are the same thing. Doing it well requires a</w:t>
      </w:r>
      <w:r>
        <w:t xml:space="preserve"> </w:t>
      </w:r>
      <w:r>
        <w:t xml:space="preserve">substrate that canonizes the identity model independently of the</w:t>
      </w:r>
      <w:r>
        <w:t xml:space="preserve"> </w:t>
      </w:r>
      <w:r>
        <w:t xml:space="preserve">directory product, governs the migration as a substrate change, and</w:t>
      </w:r>
      <w:r>
        <w:t xml:space="preserve"> </w:t>
      </w:r>
      <w:r>
        <w:t xml:space="preserve">emits reproducible evidence at every phase. The FMP substrate is</w:t>
      </w:r>
      <w:r>
        <w:t xml:space="preserve"> </w:t>
      </w:r>
      <w:r>
        <w:t xml:space="preserve">built for that.</w:t>
      </w:r>
    </w:p>
    <w:p>
      <w:pPr>
        <w:pStyle w:val="BodyText"/>
      </w:pPr>
      <w:r>
        <w:t xml:space="preserve">Agencies that adopt this posture do not just migrate. They modernize</w:t>
      </w:r>
      <w:r>
        <w:t xml:space="preserve"> </w:t>
      </w:r>
      <w:r>
        <w:t xml:space="preserve">the identity plane in a way that survives the next directory transition</w:t>
      </w:r>
      <w:r>
        <w:t xml:space="preserve"> </w:t>
      </w:r>
      <w:r>
        <w:t xml:space="preserve">— because the canon is the source of truth, and the directory product</w:t>
      </w:r>
      <w:r>
        <w:t xml:space="preserve"> </w:t>
      </w:r>
      <w:r>
        <w:t xml:space="preserve">is a consumer.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8" Target="../architecture/boundary-impact-model.md" TargetMode="External" /><Relationship Type="http://schemas.openxmlformats.org/officeDocument/2006/relationships/hyperlink" Id="rId12" Target="../executive-briefs/modernization-overview.md" TargetMode="External" /><Relationship Type="http://schemas.openxmlformats.org/officeDocument/2006/relationships/hyperlink" Id="rId13" Target="ad-to-entraid-migration-problem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../architecture/boundary-impact-model.md" TargetMode="External" /><Relationship Type="http://schemas.openxmlformats.org/officeDocument/2006/relationships/hyperlink" Id="rId12" Target="../executive-briefs/modernization-overview.md" TargetMode="External" /><Relationship Type="http://schemas.openxmlformats.org/officeDocument/2006/relationships/hyperlink" Id="rId13" Target="ad-to-entraid-migration-problem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Modernization Governance — Whitepaper</dc:title>
  <dc:creator>Michael Stratton</dc:creator>
  <cp:keywords/>
  <dcterms:created xsi:type="dcterms:W3CDTF">2026-10-19T10:11:53Z</dcterms:created>
  <dcterms:modified xsi:type="dcterms:W3CDTF">2026-10-19T10:11:53Z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reference">
    <vt:lpwstr/>
  </property>
  <property fmtid="{D5CDD505-2E9C-101B-9397-08002B2CF9AE}" pid="7" name="canon-source">
    <vt:lpwstr>docs/docs/06_ProgramVision.qmd</vt:lpwstr>
  </property>
  <property fmtid="{D5CDD505-2E9C-101B-9397-08002B2CF9AE}" pid="8" name="created-at">
    <vt:lpwstr>2026-06-18</vt:lpwstr>
  </property>
  <property fmtid="{D5CDD505-2E9C-101B-9397-08002B2CF9AE}" pid="9" name="date">
    <vt:lpwstr>2026-06-01</vt:lpwstr>
  </property>
  <property fmtid="{D5CDD505-2E9C-101B-9397-08002B2CF9AE}" pid="10" name="derived-from">
    <vt:lpwstr>fmp canon</vt:lpwstr>
  </property>
  <property fmtid="{D5CDD505-2E9C-101B-9397-08002B2CF9AE}" pid="11" name="doc-type">
    <vt:lpwstr>whitepaper</vt:lpwstr>
  </property>
  <property fmtid="{D5CDD505-2E9C-101B-9397-08002B2CF9AE}" pid="12" name="header-includes">
    <vt:lpwstr/>
  </property>
  <property fmtid="{D5CDD505-2E9C-101B-9397-08002B2CF9AE}" pid="13" name="include-after">
    <vt:lpwstr/>
  </property>
  <property fmtid="{D5CDD505-2E9C-101B-9397-08002B2CF9AE}" pid="14" name="include-before">
    <vt:lpwstr/>
  </property>
  <property fmtid="{D5CDD505-2E9C-101B-9397-08002B2CF9AE}" pid="15" name="labels">
    <vt:lpwstr/>
  </property>
  <property fmtid="{D5CDD505-2E9C-101B-9397-08002B2CF9AE}" pid="16" name="lifecycle">
    <vt:lpwstr>adopted</vt:lpwstr>
  </property>
  <property fmtid="{D5CDD505-2E9C-101B-9397-08002B2CF9AE}" pid="17" name="lifecycle_review">
    <vt:lpwstr>2026-11-22</vt:lpwstr>
  </property>
  <property fmtid="{D5CDD505-2E9C-101B-9397-08002B2CF9AE}" pid="18" name="status">
    <vt:lpwstr>Active</vt:lpwstr>
  </property>
  <property fmtid="{D5CDD505-2E9C-101B-9397-08002B2CF9AE}" pid="19" name="subtitle">
    <vt:lpwstr>Governing the AD to Entra ID migration at federal scale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2026-09-16</vt:lpwstr>
  </property>
  <property fmtid="{D5CDD505-2E9C-101B-9397-08002B2CF9AE}" pid="23" name="version">
    <vt:lpwstr>1.4</vt:lpwstr>
  </property>
</Properties>
</file>