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 w:name="network-transport-and-governance"/>
    <w:p>
      <w:pPr>
        <w:pStyle w:val="Heading1"/>
      </w:pPr>
      <w:r>
        <w:t xml:space="preserve">Network Transport and Governance</w:t>
      </w:r>
    </w:p>
    <w:p>
      <w:pPr>
        <w:pStyle w:val="FirstParagraph"/>
      </w:pPr>
      <w:r>
        <w:rPr>
          <w:b/>
          <w:bCs/>
        </w:rPr>
        <w:t xml:space="preserve">Transport is a physics decision. Control is a compliance decision. You cannot make the first without the second.</w:t>
      </w:r>
    </w:p>
    <w:bookmarkStart w:id="9" w:name="problem"/>
    <w:p>
      <w:pPr>
        <w:pStyle w:val="Heading2"/>
      </w:pPr>
      <w:r>
        <w:t xml:space="preserve">Problem</w:t>
      </w:r>
    </w:p>
    <w:p>
      <w:pPr>
        <w:pStyle w:val="FirstParagraph"/>
      </w:pPr>
      <w:r>
        <w:t xml:space="preserve">Network modernization conversations keep framing a decision as “transport versus control plane” — as if the two were competing answers to the same question. They are answers to different questions. Organizations that treat them as alternatives end up with one of two failure modes: a governed network that is too slow for voice, or a fast network that is a compliance finding.</w:t>
      </w:r>
    </w:p>
    <w:bookmarkEnd w:id="9"/>
    <w:bookmarkStart w:id="10" w:name="the-false-versus"/>
    <w:p>
      <w:pPr>
        <w:pStyle w:val="Heading2"/>
      </w:pPr>
      <w:r>
        <w:t xml:space="preserve">The false versus</w:t>
      </w:r>
    </w:p>
    <w:p>
      <w:pPr>
        <w:pStyle w:val="FirstParagraph"/>
      </w:pPr>
      <w:r>
        <w:t xml:space="preserve">Direct internet access is a pipe. A software-defined control plane is the surface that governs pipes. One solves connectivity. The other makes that connectivity usable and lawful at scale.</w:t>
      </w:r>
    </w:p>
    <w:p>
      <w:pPr>
        <w:pStyle w:val="Compact"/>
        <w:numPr>
          <w:ilvl w:val="0"/>
          <w:numId w:val="1001"/>
        </w:numPr>
      </w:pPr>
      <w:r>
        <w:rPr>
          <w:b/>
          <w:bCs/>
        </w:rPr>
        <w:t xml:space="preserve">What local breakout solves: exactly one thing</w:t>
      </w:r>
      <w:r>
        <w:t xml:space="preserve"> </w:t>
      </w:r>
      <w:r>
        <w:t xml:space="preserve">— the geographic hairpin. Latency is a physics constraint. Local breakout is the only fix. No security product shortens a fiber path.</w:t>
      </w:r>
    </w:p>
    <w:p>
      <w:pPr>
        <w:pStyle w:val="Compact"/>
        <w:numPr>
          <w:ilvl w:val="0"/>
          <w:numId w:val="1001"/>
        </w:numPr>
      </w:pPr>
      <w:r>
        <w:rPr>
          <w:b/>
          <w:bCs/>
        </w:rPr>
        <w:t xml:space="preserve">What local breakout satisfies: none of the protection controls claimed near it.</w:t>
      </w:r>
      <w:r>
        <w:t xml:space="preserve"> </w:t>
      </w:r>
      <w:r>
        <w:t xml:space="preserve">Flow enforcement, boundary protection, transmission confidentiality, malware inspection, monitoring, and audit are satisfied by the control plane that governs the pipe, never by the pipe itself.</w:t>
      </w:r>
    </w:p>
    <w:p>
      <w:pPr>
        <w:pStyle w:val="Compact"/>
        <w:numPr>
          <w:ilvl w:val="0"/>
          <w:numId w:val="1001"/>
        </w:numPr>
      </w:pPr>
      <w:r>
        <w:rPr>
          <w:b/>
          <w:bCs/>
        </w:rPr>
        <w:t xml:space="preserve">What bare local breakout breaks: the assessed boundary.</w:t>
      </w:r>
      <w:r>
        <w:t xml:space="preserve"> </w:t>
      </w:r>
      <w:r>
        <w:t xml:space="preserve">A field office moved from a centralized hairpin to ungoverned local breakout has lost assessed boundary protection relative to its starting point. It is a compliance regression with better latency.</w:t>
      </w:r>
    </w:p>
    <w:bookmarkEnd w:id="10"/>
    <w:bookmarkStart w:id="11" w:name="the-physics"/>
    <w:p>
      <w:pPr>
        <w:pStyle w:val="Heading2"/>
      </w:pPr>
      <w:r>
        <w:t xml:space="preserve">The physics</w:t>
      </w:r>
    </w:p>
    <w:p>
      <w:pPr>
        <w:pStyle w:val="FirstParagraph"/>
      </w:pPr>
      <w:r>
        <w:t xml:space="preserve">Light in fiber travels at roughly 200,000 km/s. Conversational voice has a one-way delay budget of about 150 ms. A field office that hairpins through a distant data center spends most of that budget on the detour. Local breakout reduces the path to a nearby region and measures 5–15 ms one-way. That difference is geometry plus stack placement, not a product feature.</w:t>
      </w:r>
    </w:p>
    <w:p>
      <w:pPr>
        <w:pStyle w:val="BodyText"/>
      </w:pPr>
      <w:r>
        <w:t xml:space="preserve">Distance is the only latency variable a buyer controls. Carrier topology is not geometry. Buying a faster circuit does not straighten the path.</w:t>
      </w:r>
    </w:p>
    <w:bookmarkEnd w:id="11"/>
    <w:bookmarkStart w:id="12" w:name="the-transport-menu"/>
    <w:p>
      <w:pPr>
        <w:pStyle w:val="Heading2"/>
      </w:pPr>
      <w:r>
        <w:t xml:space="preserve">The transport menu</w:t>
      </w:r>
    </w:p>
    <w:p>
      <w:pPr>
        <w:pStyle w:val="FirstParagraph"/>
      </w:pPr>
      <w:r>
        <w:t xml:space="preserve">Fiber, multiprotocol label switching, low-earth-orbit satellite, and cellular differ enormously in physics and not at all in their contribution to protection controls, which is zero for all of them. What transport selection does close is diversity of telecommunications services. That is an argument for multiple pipes, not an argument that any single pipe provides protection controls.</w:t>
      </w:r>
    </w:p>
    <w:bookmarkEnd w:id="12"/>
    <w:bookmarkStart w:id="13" w:name="the-control-plane"/>
    <w:p>
      <w:pPr>
        <w:pStyle w:val="Heading2"/>
      </w:pPr>
      <w:r>
        <w:t xml:space="preserve">The control plane</w:t>
      </w:r>
    </w:p>
    <w:p>
      <w:pPr>
        <w:pStyle w:val="FirstParagraph"/>
      </w:pPr>
      <w:r>
        <w:t xml:space="preserve">A software-defined overlay provides circuit-wide encryption, traffic-class separation, and application-layer path telemetry. Boundary, flow, and malware closures come from the access-plane stack above it. The overlay alone does not satisfy a distributed-enforcement use case.</w:t>
      </w:r>
    </w:p>
    <w:p>
      <w:pPr>
        <w:pStyle w:val="BodyText"/>
      </w:pPr>
      <w:r>
        <w:t xml:space="preserve">The control plane is itself attack surface. A controller with organization-wide routing and policy authority, and a fleet of internet-facing edges replacing two hardened egress points, are consequential new exposures. A paper that credits the control plane with closures owes the reader the controls that protect the control plane.</w:t>
      </w:r>
    </w:p>
    <w:bookmarkEnd w:id="13"/>
    <w:bookmarkStart w:id="14" w:name="order-of-operations"/>
    <w:p>
      <w:pPr>
        <w:pStyle w:val="Heading2"/>
      </w:pPr>
      <w:r>
        <w:t xml:space="preserve">Order of operations</w:t>
      </w:r>
    </w:p>
    <w:p>
      <w:pPr>
        <w:pStyle w:val="Compact"/>
        <w:numPr>
          <w:ilvl w:val="0"/>
          <w:numId w:val="1002"/>
        </w:numPr>
      </w:pPr>
      <w:r>
        <w:t xml:space="preserve">Buy the pipe on measured physics and supply-chain rules.</w:t>
      </w:r>
    </w:p>
    <w:p>
      <w:pPr>
        <w:pStyle w:val="Compact"/>
        <w:numPr>
          <w:ilvl w:val="0"/>
          <w:numId w:val="1002"/>
        </w:numPr>
      </w:pPr>
      <w:r>
        <w:t xml:space="preserve">Deploy the governing security layer</w:t>
      </w:r>
      <w:r>
        <w:t xml:space="preserve"> </w:t>
      </w:r>
      <w:r>
        <w:rPr>
          <w:b/>
          <w:bCs/>
        </w:rPr>
        <w:t xml:space="preserve">before</w:t>
      </w:r>
      <w:r>
        <w:t xml:space="preserve"> </w:t>
      </w:r>
      <w:r>
        <w:t xml:space="preserve">production traffic moves onto the new connections.</w:t>
      </w:r>
    </w:p>
    <w:p>
      <w:pPr>
        <w:pStyle w:val="Compact"/>
        <w:numPr>
          <w:ilvl w:val="0"/>
          <w:numId w:val="1002"/>
        </w:numPr>
      </w:pPr>
      <w:r>
        <w:t xml:space="preserve">Treat the boundary change as the formal, reviewable decision it is.</w:t>
      </w:r>
    </w:p>
    <w:p>
      <w:pPr>
        <w:pStyle w:val="Compact"/>
        <w:numPr>
          <w:ilvl w:val="0"/>
          <w:numId w:val="1002"/>
        </w:numPr>
      </w:pPr>
      <w:r>
        <w:t xml:space="preserve">Handle high-volume cloud traffic through its own documented exception rather than an ad-hoc workaround.</w:t>
      </w:r>
    </w:p>
    <w:p>
      <w:pPr>
        <w:pStyle w:val="Compact"/>
        <w:numPr>
          <w:ilvl w:val="0"/>
          <w:numId w:val="1002"/>
        </w:numPr>
      </w:pPr>
      <w:r>
        <w:t xml:space="preserve">Register the supporting technical evidence.</w:t>
      </w:r>
    </w:p>
    <w:p>
      <w:pPr>
        <w:pStyle w:val="FirstParagraph"/>
      </w:pPr>
      <w:r>
        <w:t xml:space="preserve">Doing these out of order — especially lighting up fast connections before the security layer is live — is the single most common and most costly mistake.</w:t>
      </w:r>
    </w:p>
    <w:bookmarkEnd w:id="14"/>
    <w:bookmarkStart w:id="15" w:name="conclusion"/>
    <w:p>
      <w:pPr>
        <w:pStyle w:val="Heading2"/>
      </w:pPr>
      <w:r>
        <w:t xml:space="preserve">Conclusion</w:t>
      </w:r>
    </w:p>
    <w:p>
      <w:pPr>
        <w:pStyle w:val="FirstParagraph"/>
      </w:pPr>
      <w:r>
        <w:t xml:space="preserve">Transport is a physics decision. Control is a compliance decision. The two must be sequenced correctly. A fast network that is not governed is a compliance regression. A governed network that ignores physics is unusable for voice. The control plane that makes local breakout lawful is itself a high-value target and must be protected accordingly.</w:t>
      </w:r>
    </w:p>
    <w:p>
      <w:r>
        <w:pict>
          <v:rect style="width:0;height:1.5pt" o:hralign="center" o:hrstd="t" o:hr="t"/>
        </w:pict>
      </w:r>
    </w:p>
    <w:p>
      <w:pPr>
        <w:pStyle w:val="FirstParagraph"/>
      </w:pPr>
      <w:r>
        <w:rPr>
          <w:i/>
          <w:iCs/>
        </w:rPr>
        <w:t xml:space="preserve">Cleaned extraction for project use. No internal branding or document identifiers.</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2026-10-19T10:11:54Z</dcterms:created>
  <dcterms:modified xsi:type="dcterms:W3CDTF">2026-10-19T10:11:54Z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