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Whitepaper Reading Guide</w:t>
      </w:r>
    </w:p>
    <w:p>
      <w:pPr>
        <w:pStyle w:val="Subtitle"/>
      </w:pPr>
      <w:r>
        <w:t xml:space="preserve">How the 29 papers relate, and recommended paths through them</w:t>
      </w:r>
    </w:p>
    <w:p>
      <w:pPr>
        <w:pStyle w:val="Author"/>
      </w:pPr>
      <w:r>
        <w:t xml:space="preserve">Michael Stratton</w:t>
      </w:r>
    </w:p>
    <w:p>
      <w:pPr>
        <w:pStyle w:val="Date"/>
      </w:pPr>
      <w:r>
        <w:t xml:space="preserve">2026-08-01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46" w:name="whitepaper-reading-guide"/>
    <w:p>
      <w:pPr>
        <w:pStyle w:val="Heading1"/>
      </w:pPr>
      <w:r>
        <w:t xml:space="preserve">Whitepaper Reading Guide</w:t>
      </w:r>
    </w:p>
    <w:p>
      <w:pPr>
        <w:pStyle w:val="FirstParagraph"/>
      </w:pPr>
      <w:r>
        <w:t xml:space="preserve">The section index lists all 29 papers as a flat table —</w:t>
      </w:r>
      <w:r>
        <w:t xml:space="preserve"> </w:t>
      </w:r>
      <w:r>
        <w:t xml:space="preserve">good for lookup, silent on how the papers relate to each other or what</w:t>
      </w:r>
      <w:r>
        <w:t xml:space="preserve"> </w:t>
      </w:r>
      <w:r>
        <w:t xml:space="preserve">order to read them in. This page groups them into tracks and proposes</w:t>
      </w:r>
      <w:r>
        <w:t xml:space="preserve"> </w:t>
      </w:r>
      <w:r>
        <w:t xml:space="preserve">reading paths for common audiences. It is a companion to the index, not</w:t>
      </w:r>
      <w:r>
        <w:t xml:space="preserve"> </w:t>
      </w:r>
      <w:r>
        <w:t xml:space="preserve">a replacement, and states no doctrine of its own — every claim below is</w:t>
      </w:r>
      <w:r>
        <w:t xml:space="preserve"> </w:t>
      </w:r>
      <w:r>
        <w:t xml:space="preserve">about the papers’ own content and status, not a canon claim.</w:t>
      </w:r>
    </w:p>
    <w:bookmarkStart w:id="11" w:name="the-corpus-at-a-glance"/>
    <w:p>
      <w:pPr>
        <w:pStyle w:val="Heading2"/>
      </w:pPr>
      <w:r>
        <w:t xml:space="preserve">The corpus at a glance</w:t>
      </w:r>
    </w:p>
    <w:p>
      <w:pPr>
        <w:pStyle w:val="FirstParagraph"/>
      </w:pPr>
      <w:r>
        <w:t xml:space="preserve">The section splits into two genres: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Policy/architecture papers</w:t>
      </w:r>
      <w:r>
        <w:t xml:space="preserve"> </w:t>
      </w:r>
      <w:r>
        <w:t xml:space="preserve">— Executive Summary → numbered</w:t>
      </w:r>
      <w:r>
        <w:t xml:space="preserve"> </w:t>
      </w:r>
      <w:r>
        <w:t xml:space="preserve">sections → Honest Limits → Conclusion. These state FMP’s governance</w:t>
      </w:r>
      <w:r>
        <w:t xml:space="preserve"> </w:t>
      </w:r>
      <w:r>
        <w:t xml:space="preserve">doctrine and map it onto a compliance framework (ZTMM, BOD-25-01,</w:t>
      </w:r>
      <w:r>
        <w:t xml:space="preserve"> </w:t>
      </w:r>
      <w:r>
        <w:t xml:space="preserve">FedRAMP).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Narrative papers</w:t>
      </w:r>
      <w:r>
        <w:t xml:space="preserve"> </w:t>
      </w:r>
      <w:r>
        <w:t xml:space="preserve">— an</w:t>
      </w:r>
      <w:r>
        <w:t xml:space="preserve"> </w:t>
      </w:r>
      <w:r>
        <w:t xml:space="preserve">“In this whitepaper”</w:t>
      </w:r>
      <w:r>
        <w:t xml:space="preserve"> </w:t>
      </w:r>
      <w:r>
        <w:t xml:space="preserve">overview → Act/Part</w:t>
      </w:r>
      <w:r>
        <w:t xml:space="preserve"> </w:t>
      </w:r>
      <w:r>
        <w:t xml:space="preserve">structure → a canon-mapping table → Provenance. These tell an</w:t>
      </w:r>
      <w:r>
        <w:t xml:space="preserve"> </w:t>
      </w:r>
      <w:r>
        <w:t xml:space="preserve">operational or historical story and derive the doctrine from it</w:t>
      </w:r>
      <w:r>
        <w:t xml:space="preserve"> </w:t>
      </w:r>
      <w:r>
        <w:t xml:space="preserve">rather than stating it up front.</w:t>
      </w:r>
    </w:p>
    <w:p>
      <w:pPr>
        <w:pStyle w:val="FirstParagraph"/>
      </w:pPr>
      <w:r>
        <w:t xml:space="preserve">Whichever genre a paper belongs to, it opens with the same three-part</w:t>
      </w:r>
      <w:r>
        <w:t xml:space="preserve"> </w:t>
      </w:r>
      <w:r>
        <w:t xml:space="preserve">box —</w:t>
      </w:r>
      <w:r>
        <w:t xml:space="preserve"> </w:t>
      </w:r>
      <w:r>
        <w:rPr>
          <w:b/>
          <w:bCs/>
        </w:rPr>
        <w:t xml:space="preserve">Problem, solution, ask</w:t>
      </w:r>
      <w:r>
        <w:t xml:space="preserve"> </w:t>
      </w:r>
      <w:r>
        <w:t xml:space="preserve">— immediately after the title: the</w:t>
      </w:r>
      <w:r>
        <w:t xml:space="preserve"> </w:t>
      </w:r>
      <w:r>
        <w:t xml:space="preserve">problem the paper exists to resolve, the position it takes, and the</w:t>
      </w:r>
      <w:r>
        <w:t xml:space="preserve"> </w:t>
      </w:r>
      <w:r>
        <w:t xml:space="preserve">specific thing it asks the reader to do or decide. Where a paper ends in</w:t>
      </w:r>
      <w:r>
        <w:t xml:space="preserve"> </w:t>
      </w:r>
      <w:r>
        <w:t xml:space="preserve">a Call to Action, the box points at it rather than restating it. Read</w:t>
      </w:r>
      <w:r>
        <w:t xml:space="preserve"> </w:t>
      </w:r>
      <w:r>
        <w:t xml:space="preserve">the box first if you have two minutes; read the paper if the ask is</w:t>
      </w:r>
      <w:r>
        <w:t xml:space="preserve"> </w:t>
      </w:r>
      <w:r>
        <w:t xml:space="preserve">yours to act on.</w:t>
      </w:r>
    </w:p>
    <w:p>
      <w:pPr>
        <w:pStyle w:val="BodyText"/>
      </w:pPr>
      <w:r>
        <w:t xml:space="preserve">Two papers —</w:t>
      </w:r>
      <w:r>
        <w:t xml:space="preserve"> </w:t>
      </w:r>
      <w:hyperlink r:id="rId9">
        <w:r>
          <w:rPr>
            <w:rStyle w:val="VerbatimChar"/>
          </w:rPr>
          <w:t xml:space="preserve">ad-to-entraid-migration-problem</w:t>
        </w:r>
      </w:hyperlink>
      <w:r>
        <w:t xml:space="preserve"> </w:t>
      </w:r>
      <w:r>
        <w:t xml:space="preserve">and</w:t>
      </w:r>
      <w:r>
        <w:t xml:space="preserve"> </w:t>
      </w:r>
      <w:hyperlink r:id="rId10">
        <w:r>
          <w:rPr>
            <w:rStyle w:val="VerbatimChar"/>
          </w:rPr>
          <w:t xml:space="preserve">fmp-vs-native-tools</w:t>
        </w:r>
      </w:hyperlink>
      <w:r>
        <w:t xml:space="preserve"> </w:t>
      </w:r>
      <w:r>
        <w:t xml:space="preserve">— predate both</w:t>
      </w:r>
      <w:r>
        <w:t xml:space="preserve"> </w:t>
      </w:r>
      <w:r>
        <w:t xml:space="preserve">genres: they’re docx imports from before the canon-anchoring convention</w:t>
      </w:r>
      <w:r>
        <w:t xml:space="preserve"> </w:t>
      </w:r>
      <w:r>
        <w:t xml:space="preserve">existed. They carry real content (the original business case for the</w:t>
      </w:r>
      <w:r>
        <w:t xml:space="preserve"> </w:t>
      </w:r>
      <w:r>
        <w:t xml:space="preserve">whole program) but are the corpus’s least structurally current papers;</w:t>
      </w:r>
      <w:r>
        <w:t xml:space="preserve"> </w:t>
      </w:r>
      <w:r>
        <w:t xml:space="preserve">read them for the argument, not as a canon-anchored reference.</w:t>
      </w:r>
    </w:p>
    <w:bookmarkEnd w:id="11"/>
    <w:bookmarkStart w:id="13" w:name="Xde4e0c21f552fe6dd559110611910da66994149"/>
    <w:p>
      <w:pPr>
        <w:pStyle w:val="Heading2"/>
      </w:pPr>
      <w:r>
        <w:t xml:space="preserve">Start here if your question is</w:t>
      </w:r>
      <w:r>
        <w:t xml:space="preserve"> </w:t>
      </w:r>
      <w:r>
        <w:t xml:space="preserve">“who does this mandate bind”</w:t>
      </w:r>
    </w:p>
    <w:p>
      <w:pPr>
        <w:pStyle w:val="FirstParagraph"/>
      </w:pPr>
      <w:hyperlink r:id="rId12">
        <w:r>
          <w:rPr>
            <w:rStyle w:val="Hyperlink"/>
          </w:rPr>
          <w:t xml:space="preserve">Federal Compliance for Moderate Agencies</w:t>
        </w:r>
      </w:hyperlink>
      <w:r>
        <w:t xml:space="preserve"> </w:t>
      </w:r>
      <w:r>
        <w:t xml:space="preserve">sits outside the six tracks below by design — it’s a short primer, not a</w:t>
      </w:r>
      <w:r>
        <w:t xml:space="preserve"> </w:t>
      </w:r>
      <w:r>
        <w:t xml:space="preserve">deep-dive, and its job is disambiguation and routing rather than argument.</w:t>
      </w:r>
      <w:r>
        <w:t xml:space="preserve"> </w:t>
      </w:r>
      <w:r>
        <w:t xml:space="preserve">If the question in front of you is</w:t>
      </w:r>
      <w:r>
        <w:t xml:space="preserve"> </w:t>
      </w:r>
      <w:r>
        <w:t xml:space="preserve">“does FedRAMP 20x apply to my agency or</w:t>
      </w:r>
      <w:r>
        <w:t xml:space="preserve"> </w:t>
      </w:r>
      <w:r>
        <w:t xml:space="preserve">to our cloud provider,”</w:t>
      </w:r>
      <w:r>
        <w:t xml:space="preserve"> </w:t>
      </w:r>
      <w:r>
        <w:t xml:space="preserve">or</w:t>
      </w:r>
      <w:r>
        <w:t xml:space="preserve"> </w:t>
      </w:r>
      <w:r>
        <w:t xml:space="preserve">“what’s actually a hard deadline versus</w:t>
      </w:r>
      <w:r>
        <w:t xml:space="preserve"> </w:t>
      </w:r>
      <w:r>
        <w:t xml:space="preserve">guidance,”</w:t>
      </w:r>
      <w:r>
        <w:t xml:space="preserve"> </w:t>
      </w:r>
      <w:r>
        <w:t xml:space="preserve">read it first; it routes into whichever track below actually</w:t>
      </w:r>
      <w:r>
        <w:t xml:space="preserve"> </w:t>
      </w:r>
      <w:r>
        <w:t xml:space="preserve">answers your follow-up question. Everyone else should skip straight to the</w:t>
      </w:r>
      <w:r>
        <w:t xml:space="preserve"> </w:t>
      </w:r>
      <w:r>
        <w:t xml:space="preserve">tracks.</w:t>
      </w:r>
    </w:p>
    <w:bookmarkEnd w:id="13"/>
    <w:bookmarkStart w:id="44" w:name="six-tracks"/>
    <w:p>
      <w:pPr>
        <w:pStyle w:val="Heading2"/>
      </w:pPr>
      <w:r>
        <w:t xml:space="preserve">Six tracks</w:t>
      </w:r>
    </w:p>
    <w:p>
      <w:pPr>
        <w:pStyle w:val="FirstParagraph"/>
      </w:pPr>
      <w:r>
        <w:t xml:space="preserve">Papers are grouped by the question they answer, not by filename.</w:t>
      </w:r>
      <w:r>
        <w:t xml:space="preserve"> </w:t>
      </w:r>
      <w:r>
        <w:t xml:space="preserve">Several papers earn a place in more than one track — that’s</w:t>
      </w:r>
      <w:r>
        <w:t xml:space="preserve"> </w:t>
      </w:r>
      <w:r>
        <w:t xml:space="preserve">cross-listed, not a mistake.</w:t>
      </w:r>
    </w:p>
    <w:bookmarkStart w:id="18" w:name="track-1-governance-foundations"/>
    <w:p>
      <w:pPr>
        <w:pStyle w:val="Heading3"/>
      </w:pPr>
      <w:r>
        <w:t xml:space="preserve">Track 1 — Governance Foundations</w:t>
      </w:r>
    </w:p>
    <w:p>
      <w:pPr>
        <w:pStyle w:val="FirstParagraph"/>
      </w:pPr>
      <w:r>
        <w:t xml:space="preserve">Start here for</w:t>
      </w:r>
      <w:r>
        <w:t xml:space="preserve"> </w:t>
      </w:r>
      <w:r>
        <w:t xml:space="preserve">“what is FMP.”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Paper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Role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Hyperlink"/>
                </w:rPr>
                <w:t xml:space="preserve">Zero Trust Governance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Active</w:t>
            </w:r>
          </w:p>
        </w:tc>
        <w:tc>
          <w:tcPr/>
          <w:p>
            <w:pPr>
              <w:pStyle w:val="Compact"/>
            </w:pPr>
            <w:r>
              <w:t xml:space="preserve">Maps the substrate onto CISA’s five ZTMM pillars, pillar by pillar.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Hyperlink"/>
                </w:rPr>
                <w:t xml:space="preserve">Zero Trust Governance Principles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Active</w:t>
            </w:r>
          </w:p>
        </w:tc>
        <w:tc>
          <w:tcPr/>
          <w:p>
            <w:pPr>
              <w:pStyle w:val="Compact"/>
            </w:pPr>
            <w:r>
              <w:t xml:space="preserve">Broader and newer than the paper above — whole-agency (Network+CSP+VMware) scope, cross-cutting capabilities, the</w:t>
            </w:r>
            <w:r>
              <w:t xml:space="preserve"> </w:t>
            </w:r>
            <w:r>
              <w:t xml:space="preserve">“why programs stall below Advanced”</w:t>
            </w:r>
            <w:r>
              <w:t xml:space="preserve"> </w:t>
            </w:r>
            <w:r>
              <w:t xml:space="preserve">argument. Read</w:t>
            </w:r>
            <w:r>
              <w:t xml:space="preserve"> </w:t>
            </w:r>
            <w:r>
              <w:rPr>
                <w:i/>
                <w:iCs/>
              </w:rPr>
              <w:t xml:space="preserve">after</w:t>
            </w:r>
            <w:r>
              <w:t xml:space="preserve"> </w:t>
            </w:r>
            <w:r>
              <w:t xml:space="preserve">the pillar-mapping paper, not instead of it.</w:t>
            </w:r>
          </w:p>
        </w:tc>
      </w:tr>
      <w:tr>
        <w:tc>
          <w:tcPr/>
          <w:p>
            <w:pPr>
              <w:pStyle w:val="Compact"/>
            </w:pPr>
            <w:hyperlink r:id="rId16">
              <w:r>
                <w:rPr>
                  <w:rStyle w:val="Hyperlink"/>
                </w:rPr>
                <w:t xml:space="preserve">Zero Trust Requires Whole-Agency Scope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Active</w:t>
            </w:r>
          </w:p>
        </w:tc>
        <w:tc>
          <w:tcPr/>
          <w:p>
            <w:pPr>
              <w:pStyle w:val="Compact"/>
            </w:pPr>
            <w:r>
              <w:t xml:space="preserve">Companion to the paper above — the whole-agency unification argument and SCuBA/ZTA worked example, split out 2026-08-03 so the parent paper’s core argument stays finishable in one sitting. Read immediately after it, not standalone.</w:t>
            </w:r>
          </w:p>
        </w:tc>
      </w:tr>
      <w:tr>
        <w:tc>
          <w:tcPr/>
          <w:p>
            <w:pPr>
              <w:pStyle w:val="Compact"/>
            </w:pPr>
            <w:hyperlink r:id="rId17">
              <w:r>
                <w:rPr>
                  <w:rStyle w:val="Hyperlink"/>
                </w:rPr>
                <w:t xml:space="preserve">Modernization Governance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Active</w:t>
            </w:r>
          </w:p>
        </w:tc>
        <w:tc>
          <w:tcPr/>
          <w:p>
            <w:pPr>
              <w:pStyle w:val="Compact"/>
            </w:pPr>
            <w:r>
              <w:t xml:space="preserve">Governance framing specifically for the AD → Entra ID migration — the bridge into Track 2.</w:t>
            </w:r>
          </w:p>
        </w:tc>
      </w:tr>
    </w:tbl>
    <w:bookmarkEnd w:id="18"/>
    <w:bookmarkStart w:id="24" w:name="track-2-identity-directory-modernization"/>
    <w:p>
      <w:pPr>
        <w:pStyle w:val="Heading3"/>
      </w:pPr>
      <w:r>
        <w:t xml:space="preserve">Track 2 — Identity &amp; Directory Modernization</w:t>
      </w:r>
    </w:p>
    <w:p>
      <w:pPr>
        <w:pStyle w:val="FirstParagraph"/>
      </w:pPr>
      <w:r>
        <w:t xml:space="preserve">The AD → Entra ID arc.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Paper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Role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Hyperlink"/>
                </w:rPr>
                <w:t xml:space="preserve">AD-to-Entra ID Structural Migration Problem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Active</w:t>
            </w:r>
            <w:r>
              <w:t xml:space="preserve"> </w:t>
            </w:r>
            <w:r>
              <w:rPr>
                <w:i/>
                <w:iCs/>
              </w:rPr>
              <w:t xml:space="preserve">(pre-canon import)</w:t>
            </w:r>
          </w:p>
        </w:tc>
        <w:tc>
          <w:tcPr/>
          <w:p>
            <w:pPr>
              <w:pStyle w:val="Compact"/>
            </w:pPr>
            <w:r>
              <w:t xml:space="preserve">Original statement of the structural migration problem — read for the business case.</w:t>
            </w:r>
          </w:p>
        </w:tc>
      </w:tr>
      <w:tr>
        <w:tc>
          <w:tcPr/>
          <w:p>
            <w:pPr>
              <w:pStyle w:val="Compact"/>
            </w:pPr>
            <w:hyperlink r:id="rId19">
              <w:r>
                <w:rPr>
                  <w:rStyle w:val="Hyperlink"/>
                </w:rPr>
                <w:t xml:space="preserve">The Session vs. Telemetry Divide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Active</w:t>
            </w:r>
          </w:p>
        </w:tc>
        <w:tc>
          <w:tcPr/>
          <w:p>
            <w:pPr>
              <w:pStyle w:val="Compact"/>
            </w:pPr>
            <w:r>
              <w:t xml:space="preserve">The architectural-tension argument split out of the paper above 2026-08-03 — strong enough to stand alone, was diluting the parent’s focus. Read right after it.</w:t>
            </w:r>
          </w:p>
        </w:tc>
      </w:tr>
      <w:tr>
        <w:tc>
          <w:tcPr/>
          <w:p>
            <w:pPr>
              <w:pStyle w:val="Compact"/>
            </w:pPr>
            <w:hyperlink r:id="rId20">
              <w:r>
                <w:rPr>
                  <w:rStyle w:val="Hyperlink"/>
                </w:rPr>
                <w:t xml:space="preserve">Modernization Journey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Draft</w:t>
            </w:r>
          </w:p>
        </w:tc>
        <w:tc>
          <w:tcPr/>
          <w:p>
            <w:pPr>
              <w:pStyle w:val="Compact"/>
            </w:pPr>
            <w:r>
              <w:t xml:space="preserve">The mainframe→cloud arc end to end.</w:t>
            </w:r>
            <w:r>
              <w:t xml:space="preserve"> </w:t>
            </w:r>
            <w:r>
              <w:rPr>
                <w:b/>
                <w:bCs/>
              </w:rPr>
              <w:t xml:space="preserve">The argument is vendor-neutral and product-neutral</w:t>
            </w:r>
            <w:r>
              <w:t xml:space="preserve"> </w:t>
            </w:r>
            <w:r>
              <w:t xml:space="preserve">— written to hand to an audience that isn’t evaluating a platform — and a separable</w:t>
            </w:r>
            <w:r>
              <w:t xml:space="preserve"> </w:t>
            </w:r>
            <w:hyperlink r:id="rId21">
              <w:r>
                <w:rPr>
                  <w:rStyle w:val="Hyperlink"/>
                </w:rPr>
                <w:t xml:space="preserve">closing appendix</w:t>
              </w:r>
            </w:hyperlink>
            <w:r>
              <w:t xml:space="preserve"> </w:t>
            </w:r>
            <w:r>
              <w:t xml:space="preserve">maps Act 4 to the ADRs behind it. Cross-listed as the flagship of Track 4.</w:t>
            </w:r>
          </w:p>
        </w:tc>
      </w:tr>
      <w:tr>
        <w:tc>
          <w:tcPr/>
          <w:p>
            <w:pPr>
              <w:pStyle w:val="Compact"/>
            </w:pPr>
            <w:hyperlink r:id="rId22">
              <w:r>
                <w:rPr>
                  <w:rStyle w:val="Hyperlink"/>
                </w:rPr>
                <w:t xml:space="preserve">Flipping 50,000 Devices to Hybrid Join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Draft</w:t>
            </w:r>
          </w:p>
        </w:tc>
        <w:tc>
          <w:tcPr/>
          <w:p>
            <w:pPr>
              <w:pStyle w:val="Compact"/>
            </w:pPr>
            <w:r>
              <w:t xml:space="preserve">One concrete operation</w:t>
            </w:r>
            <w:r>
              <w:t xml:space="preserve"> </w:t>
            </w:r>
            <w:r>
              <w:rPr>
                <w:i/>
                <w:iCs/>
              </w:rPr>
              <w:t xml:space="preserve">inside</w:t>
            </w:r>
            <w:r>
              <w:t xml:space="preserve"> </w:t>
            </w:r>
            <w:r>
              <w:t xml:space="preserve">the arc above — governed vs. ungoverned hybrid join. Read after</w:t>
            </w:r>
            <w:r>
              <w:t xml:space="preserve"> </w:t>
            </w:r>
            <w:r>
              <w:rPr>
                <w:i/>
                <w:iCs/>
              </w:rPr>
              <w:t xml:space="preserve">Modernization Journey</w:t>
            </w:r>
            <w:r>
              <w:t xml:space="preserve">; it assumes that paper’s control-plane/data-plane framing.</w:t>
            </w:r>
          </w:p>
        </w:tc>
      </w:tr>
      <w:tr>
        <w:tc>
          <w:tcPr/>
          <w:p>
            <w:pPr>
              <w:pStyle w:val="Compact"/>
            </w:pPr>
            <w:hyperlink r:id="rId23">
              <w:r>
                <w:rPr>
                  <w:rStyle w:val="Hyperlink"/>
                </w:rPr>
                <w:t xml:space="preserve">Federal SSOT Alignment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Active</w:t>
            </w:r>
          </w:p>
        </w:tc>
        <w:tc>
          <w:tcPr/>
          <w:p>
            <w:pPr>
              <w:pStyle w:val="Compact"/>
            </w:pPr>
            <w:r>
              <w:t xml:space="preserve">Same identity-modernization event, read through the data-governance/SSOT-mandate lens instead of the architecture lens.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FMP vs. Native Tools</w:t>
            </w:r>
          </w:p>
        </w:tc>
        <w:tc>
          <w:tcPr/>
          <w:p>
            <w:pPr>
              <w:pStyle w:val="Compact"/>
            </w:pPr>
            <w:r>
              <w:t xml:space="preserve">Active</w:t>
            </w:r>
            <w:r>
              <w:t xml:space="preserve"> </w:t>
            </w:r>
            <w:r>
              <w:rPr>
                <w:i/>
                <w:iCs/>
              </w:rPr>
              <w:t xml:space="preserve">(pre-canon import)</w:t>
            </w:r>
          </w:p>
        </w:tc>
        <w:tc>
          <w:tcPr/>
          <w:p>
            <w:pPr>
              <w:pStyle w:val="Compact"/>
            </w:pPr>
            <w:r>
              <w:t xml:space="preserve">AD assessment methodology and gap analysis against Microsoft-native tooling — also anchors Track 6.</w:t>
            </w:r>
          </w:p>
        </w:tc>
      </w:tr>
    </w:tbl>
    <w:bookmarkEnd w:id="24"/>
    <w:bookmarkStart w:id="30" w:name="X2fd0e401e7cf5bff177774dcbe2d26170372c08"/>
    <w:p>
      <w:pPr>
        <w:pStyle w:val="Heading3"/>
      </w:pPr>
      <w:r>
        <w:t xml:space="preserve">Track 3 — Zero Trust Assessment &amp; Compliance Closure</w:t>
      </w:r>
    </w:p>
    <w:p>
      <w:pPr>
        <w:pStyle w:val="FirstParagraph"/>
      </w:pPr>
      <w:r>
        <w:t xml:space="preserve">BOD-25-01 and CISA SCuBA.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Paper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Role</w:t>
            </w:r>
          </w:p>
        </w:tc>
      </w:tr>
      <w:tr>
        <w:tc>
          <w:tcPr/>
          <w:p>
            <w:pPr>
              <w:pStyle w:val="Compact"/>
            </w:pPr>
            <w:hyperlink r:id="rId25">
              <w:r>
                <w:rPr>
                  <w:rStyle w:val="Hyperlink"/>
                </w:rPr>
                <w:t xml:space="preserve">Assessment Tools vs. Closing BOD-25-01 Findings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Active</w:t>
            </w:r>
          </w:p>
        </w:tc>
        <w:tc>
          <w:tcPr/>
          <w:p>
            <w:pPr>
              <w:pStyle w:val="Compact"/>
            </w:pPr>
            <w:r>
              <w:t xml:space="preserve">The sequencing argument — remediate before you assess — that the rest of this track assumes. Read first in this track.</w:t>
            </w:r>
          </w:p>
        </w:tc>
      </w:tr>
      <w:tr>
        <w:tc>
          <w:tcPr/>
          <w:p>
            <w:pPr>
              <w:pStyle w:val="Compact"/>
            </w:pPr>
            <w:hyperlink r:id="rId26">
              <w:r>
                <w:rPr>
                  <w:rStyle w:val="Hyperlink"/>
                </w:rPr>
                <w:t xml:space="preserve">ScubaGear Integration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Active</w:t>
            </w:r>
          </w:p>
        </w:tc>
        <w:tc>
          <w:tcPr/>
          <w:p>
            <w:pPr>
              <w:pStyle w:val="Compact"/>
            </w:pPr>
            <w:r>
              <w:t xml:space="preserve">How CISA’s ScubaGear assessor output feeds FMP’s evidence pipeline.</w:t>
            </w:r>
          </w:p>
        </w:tc>
      </w:tr>
      <w:tr>
        <w:tc>
          <w:tcPr/>
          <w:p>
            <w:pPr>
              <w:pStyle w:val="Compact"/>
            </w:pPr>
            <w:hyperlink r:id="rId27">
              <w:r>
                <w:rPr>
                  <w:rStyle w:val="Hyperlink"/>
                </w:rPr>
                <w:t xml:space="preserve">ZTA and SCuBA — How They Relate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Active</w:t>
            </w:r>
          </w:p>
        </w:tc>
        <w:tc>
          <w:tcPr/>
          <w:p>
            <w:pPr>
              <w:pStyle w:val="Compact"/>
            </w:pPr>
            <w:r>
              <w:t xml:space="preserve">Disambiguates Microsoft’s Zero Trust Assessment from CISA SCuBA — read when a stakeholder asks</w:t>
            </w:r>
            <w:r>
              <w:t xml:space="preserve"> </w:t>
            </w:r>
            <w:r>
              <w:t xml:space="preserve">“aren’t these the same tool?”</w:t>
            </w:r>
          </w:p>
        </w:tc>
      </w:tr>
      <w:tr>
        <w:tc>
          <w:tcPr/>
          <w:p>
            <w:pPr>
              <w:pStyle w:val="Compact"/>
            </w:pPr>
            <w:hyperlink r:id="rId28">
              <w:r>
                <w:rPr>
                  <w:rStyle w:val="Hyperlink"/>
                </w:rPr>
                <w:t xml:space="preserve">Ticket-to-Machine, Not Ticket-to-Human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Draft</w:t>
            </w:r>
          </w:p>
        </w:tc>
        <w:tc>
          <w:tcPr/>
          <w:p>
            <w:pPr>
              <w:pStyle w:val="Compact"/>
            </w:pPr>
            <w:r>
              <w:t xml:space="preserve">Closure-evidence argument across Azure/AWS/VMware + ServiceNow/SailPoint — the</w:t>
            </w:r>
            <w:r>
              <w:t xml:space="preserve"> </w:t>
            </w:r>
            <w:r>
              <w:t xml:space="preserve">“how do we know a finding is actually closed”</w:t>
            </w:r>
            <w:r>
              <w:t xml:space="preserve"> </w:t>
            </w:r>
            <w:r>
              <w:t xml:space="preserve">question this track builds toward.</w:t>
            </w:r>
          </w:p>
        </w:tc>
      </w:tr>
      <w:tr>
        <w:tc>
          <w:tcPr/>
          <w:p>
            <w:pPr>
              <w:pStyle w:val="Compact"/>
            </w:pPr>
            <w:hyperlink r:id="rId29">
              <w:r>
                <w:rPr>
                  <w:rStyle w:val="Hyperlink"/>
                </w:rPr>
                <w:t xml:space="preserve">Ticket-to-Machine Appendices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Active</w:t>
            </w:r>
          </w:p>
        </w:tc>
        <w:tc>
          <w:tcPr/>
          <w:p>
            <w:pPr>
              <w:pStyle w:val="Compact"/>
            </w:pPr>
            <w:r>
              <w:t xml:space="preserve">Code review, access-governance extension, PKI exception, and vendor landscape — split out of the paper above 2026-08-03 so its core argument stays the single-paper read its frontmatter promises. Reference only; skip unless you need that level of detail.</w:t>
            </w:r>
          </w:p>
        </w:tc>
      </w:tr>
    </w:tbl>
    <w:bookmarkEnd w:id="30"/>
    <w:bookmarkStart w:id="39" w:name="X61f4a3713009562a2d2b78c6c0291d0ec063f64"/>
    <w:p>
      <w:pPr>
        <w:pStyle w:val="Heading3"/>
      </w:pPr>
      <w:r>
        <w:t xml:space="preserve">Track 4 — Network &amp; Infrastructure Modernization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Paper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Role</w:t>
            </w:r>
          </w:p>
        </w:tc>
      </w:tr>
      <w:tr>
        <w:tc>
          <w:tcPr/>
          <w:p>
            <w:pPr>
              <w:pStyle w:val="Compact"/>
            </w:pPr>
            <w:hyperlink r:id="rId20">
              <w:r>
                <w:rPr>
                  <w:rStyle w:val="Hyperlink"/>
                </w:rPr>
                <w:t xml:space="preserve">Modernization Journey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Draft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Flagship of this track</w:t>
            </w:r>
            <w:r>
              <w:t xml:space="preserve">, cross-listed from Track 2. The forty-year mainframe-to-Zero-Trust arc, argued</w:t>
            </w:r>
            <w:r>
              <w:t xml:space="preserve"> </w:t>
            </w:r>
            <w:r>
              <w:rPr>
                <w:b/>
                <w:bCs/>
              </w:rPr>
              <w:t xml:space="preserve">vendor-neutral and product-neutral</w:t>
            </w:r>
            <w:r>
              <w:t xml:space="preserve">, with the canon trail confined to a separable closing appendix. Has this corpus’s most fully worked Call to Action, and the FedRAMP 20x Consolidated Rules timeline.</w:t>
            </w:r>
          </w:p>
        </w:tc>
      </w:tr>
      <w:tr>
        <w:tc>
          <w:tcPr/>
          <w:p>
            <w:pPr>
              <w:pStyle w:val="Compact"/>
            </w:pPr>
            <w:hyperlink r:id="rId31">
              <w:r>
                <w:rPr>
                  <w:rStyle w:val="Hyperlink"/>
                </w:rPr>
                <w:t xml:space="preserve">SD-WAN vs. DIA Under TIC 3.0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Draft</w:t>
            </w:r>
          </w:p>
        </w:tc>
        <w:tc>
          <w:tcPr/>
          <w:p>
            <w:pPr>
              <w:pStyle w:val="Compact"/>
            </w:pPr>
            <w:r>
              <w:t xml:space="preserve">The transport-and-policy layer underneath this track’s Act 4 architecture. Read after the flagship’s Act 4, or standalone for a network-engineering audience.</w:t>
            </w:r>
          </w:p>
        </w:tc>
      </w:tr>
      <w:tr>
        <w:tc>
          <w:tcPr/>
          <w:p>
            <w:pPr>
              <w:pStyle w:val="Compact"/>
            </w:pPr>
            <w:hyperlink r:id="rId32">
              <w:r>
                <w:rPr>
                  <w:rStyle w:val="Hyperlink"/>
                </w:rPr>
                <w:t xml:space="preserve">Next Generation DNS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Draft</w:t>
            </w:r>
          </w:p>
        </w:tc>
        <w:tc>
          <w:tcPr/>
          <w:p>
            <w:pPr>
              <w:pStyle w:val="Compact"/>
            </w:pPr>
            <w:r>
              <w:t xml:space="preserve">The DNS layer underneath the same Act 4 architecture — split-brain DNS, Universal DDI, Cisco SD-WAN interception. Sibling to the SD-WAN paper, not sequential to it.</w:t>
            </w:r>
          </w:p>
        </w:tc>
      </w:tr>
      <w:tr>
        <w:tc>
          <w:tcPr/>
          <w:p>
            <w:pPr>
              <w:pStyle w:val="Compact"/>
            </w:pPr>
            <w:hyperlink r:id="rId33">
              <w:r>
                <w:rPr>
                  <w:rStyle w:val="Hyperlink"/>
                </w:rPr>
                <w:t xml:space="preserve">DNS Record Types and Universal DDI Ecosystem Integrations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Draft</w:t>
            </w:r>
          </w:p>
        </w:tc>
        <w:tc>
          <w:tcPr/>
          <w:p>
            <w:pPr>
              <w:pStyle w:val="Compact"/>
            </w:pPr>
            <w:r>
              <w:t xml:space="preserve">The record-type catalog and ecosystem-integration table split out of the paper above 2026-08-03 — bookmarkable reference, not meant to be read start to finish.</w:t>
            </w:r>
          </w:p>
        </w:tc>
      </w:tr>
      <w:tr>
        <w:tc>
          <w:tcPr/>
          <w:p>
            <w:pPr>
              <w:pStyle w:val="Compact"/>
            </w:pPr>
            <w:hyperlink r:id="rId34">
              <w:r>
                <w:rPr>
                  <w:rStyle w:val="Hyperlink"/>
                </w:rPr>
                <w:t xml:space="preserve">Field Office WAN Transformation and Distribution Point Consolidation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Draft</w:t>
            </w:r>
          </w:p>
        </w:tc>
        <w:tc>
          <w:tcPr/>
          <w:p>
            <w:pPr>
              <w:pStyle w:val="Compact"/>
            </w:pPr>
            <w:r>
              <w:t xml:space="preserve">A worked capital-planning case built on the SD-WAN and TIC 3.0 arguments above, plus new content neither covers: Configuration Manager distribution-point unit economics against a proposed hardware refresh. Read after the SD-WAN paper; assumes its transport argument and the DNS paper’s INR/GCC finding rather than re-deriving either.</w:t>
            </w:r>
          </w:p>
        </w:tc>
      </w:tr>
      <w:tr>
        <w:tc>
          <w:tcPr/>
          <w:p>
            <w:pPr>
              <w:pStyle w:val="Compact"/>
            </w:pPr>
            <w:hyperlink r:id="rId35">
              <w:r>
                <w:rPr>
                  <w:rStyle w:val="Hyperlink"/>
                </w:rPr>
                <w:t xml:space="preserve">FMP Git Server Interfaces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Draft</w:t>
            </w:r>
          </w:p>
        </w:tc>
        <w:tc>
          <w:tcPr/>
          <w:p>
            <w:pPr>
              <w:pStyle w:val="Compact"/>
            </w:pPr>
            <w:r>
              <w:t xml:space="preserve">Platform deployment surface (Windows Server 2025) — narrower scope, useful once an agency has committed to an FMP deployment rather than during the architecture-decision phase the rest of this track addresses.</w:t>
            </w:r>
          </w:p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One arc, one paper — consolidated 2026-09-09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track’s flagship and Track 2’s narrative used to be two papers telling the</w:t>
            </w:r>
            <w:r>
              <w:t xml:space="preserve"> </w:t>
            </w:r>
            <w:r>
              <w:t xml:space="preserve">same forty-year arc: an external vendor-neutral edition and an internal</w:t>
            </w:r>
            <w:r>
              <w:t xml:space="preserve"> </w:t>
            </w:r>
            <w:r>
              <w:t xml:space="preserve">canon-anchored one. Handing the wrong one to an audience was the single most</w:t>
            </w:r>
            <w:r>
              <w:t xml:space="preserve"> </w:t>
            </w:r>
            <w:r>
              <w:t xml:space="preserve">common mis-sequencing risk in this corpus, so they were merged into</w:t>
            </w:r>
            <w:r>
              <w:t xml:space="preserve"> </w:t>
            </w:r>
            <w:r>
              <w:rPr>
                <w:i/>
                <w:iCs/>
              </w:rPr>
              <w:t xml:space="preserve">Modernization Journey</w:t>
            </w:r>
            <w:r>
              <w:t xml:space="preserve">, which keeps the vendor-neutral voice. The canon trail</w:t>
            </w:r>
            <w:r>
              <w:t xml:space="preserve"> </w:t>
            </w:r>
            <w:r>
              <w:t xml:space="preserve">the other edition carried survives as that paper’s</w:t>
            </w:r>
            <w:r>
              <w:t xml:space="preserve"> </w:t>
            </w:r>
            <w:hyperlink r:id="rId21">
              <w:r>
                <w:rPr>
                  <w:rStyle w:val="Hyperlink"/>
                </w:rPr>
                <w:t xml:space="preserve">closing appendix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placed after the Call to Action so the argument still reads end to end without</w:t>
            </w:r>
            <w:r>
              <w:t xml:space="preserve"> </w:t>
            </w:r>
            <w:r>
              <w:t xml:space="preserve">it — and so it can be dropped when the paper is handed outward. the compliance series Vol I</w:t>
            </w:r>
            <w:r>
              <w:t xml:space="preserve"> </w:t>
            </w:r>
            <w:r>
              <w:t xml:space="preserve">Book 05 tells the same arc in federal control-closure terms and names no</w:t>
            </w:r>
            <w:r>
              <w:t xml:space="preserve"> </w:t>
            </w:r>
            <w:r>
              <w:t xml:space="preserve">automation engine at all, so the appendix, not the book, is where the ADR</w:t>
            </w:r>
            <w:r>
              <w:t xml:space="preserve"> </w:t>
            </w:r>
            <w:r>
              <w:t xml:space="preserve">provenance lives.</w:t>
            </w:r>
          </w:p>
          <w:p/>
        </w:tc>
      </w:tr>
    </w:tbl>
    <w:bookmarkEnd w:id="39"/>
    <w:bookmarkStart w:id="42" w:name="X7e57782eddbf2809ffe155dd6b24cea8f99d397"/>
    <w:p>
      <w:pPr>
        <w:pStyle w:val="Heading3"/>
      </w:pPr>
      <w:r>
        <w:t xml:space="preserve">Track 5 — Federal Program-Specific Alignment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Paper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Role</w:t>
            </w:r>
          </w:p>
        </w:tc>
      </w:tr>
      <w:tr>
        <w:tc>
          <w:tcPr/>
          <w:p>
            <w:pPr>
              <w:pStyle w:val="Compact"/>
            </w:pPr>
            <w:hyperlink r:id="rId40">
              <w:r>
                <w:rPr>
                  <w:rStyle w:val="Hyperlink"/>
                </w:rPr>
                <w:t xml:space="preserve">HR-Driven Identity</w:t>
              </w:r>
            </w:hyperlink>
            <w:r>
              <w:t xml:space="preserve"> </w:t>
            </w:r>
            <w:r>
              <w:t xml:space="preserve">(series; replaces the Federal HRIT Productization paper)</w:t>
            </w:r>
          </w:p>
        </w:tc>
        <w:tc>
          <w:tcPr/>
          <w:p>
            <w:pPr>
              <w:pStyle w:val="Compact"/>
            </w:pPr>
            <w:r>
              <w:t xml:space="preserve">Active</w:t>
            </w:r>
          </w:p>
        </w:tc>
        <w:tc>
          <w:tcPr/>
          <w:p>
            <w:pPr>
              <w:pStyle w:val="Compact"/>
            </w:pPr>
            <w:r>
              <w:t xml:space="preserve">Inbound HR provisioning into Entra ID — a specific integration domain, not a general-purpose entry point.</w:t>
            </w:r>
          </w:p>
        </w:tc>
      </w:tr>
      <w:tr>
        <w:tc>
          <w:tcPr/>
          <w:p>
            <w:pPr>
              <w:pStyle w:val="Compact"/>
            </w:pPr>
            <w:hyperlink r:id="rId41">
              <w:r>
                <w:rPr>
                  <w:rStyle w:val="Hyperlink"/>
                </w:rPr>
                <w:t xml:space="preserve">Federal AI Governance — Submission Readiness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Active</w:t>
            </w:r>
          </w:p>
        </w:tc>
        <w:tc>
          <w:tcPr/>
          <w:p>
            <w:pPr>
              <w:pStyle w:val="Compact"/>
            </w:pPr>
            <w:r>
              <w:t xml:space="preserve">AI-system governance under M-25-21 — narrowest scope in the corpus; read only if AI-system inventory/ATO submission is the live question.</w:t>
            </w:r>
          </w:p>
        </w:tc>
      </w:tr>
      <w:tr>
        <w:tc>
          <w:tcPr/>
          <w:p>
            <w:pPr>
              <w:pStyle w:val="Compact"/>
            </w:pPr>
            <w:hyperlink r:id="rId23">
              <w:r>
                <w:rPr>
                  <w:rStyle w:val="Hyperlink"/>
                </w:rPr>
                <w:t xml:space="preserve">Federal SSOT Alignment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Active</w:t>
            </w:r>
          </w:p>
        </w:tc>
        <w:tc>
          <w:tcPr/>
          <w:p>
            <w:pPr>
              <w:pStyle w:val="Compact"/>
            </w:pPr>
            <w:r>
              <w:t xml:space="preserve">Cross-listed from Track 2 — also a data-governance-mandate alignment paper.</w:t>
            </w:r>
          </w:p>
        </w:tc>
      </w:tr>
    </w:tbl>
    <w:bookmarkEnd w:id="42"/>
    <w:bookmarkStart w:id="43" w:name="X3c87425ea02ea01b3b6c195fe1373cd00ac8a02"/>
    <w:p>
      <w:pPr>
        <w:pStyle w:val="Heading3"/>
      </w:pPr>
      <w:r>
        <w:t xml:space="preserve">Track 6 — Positioning, Comparison &amp; Vendor Reads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Paper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Role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FMP vs. Native Tools</w:t>
            </w:r>
          </w:p>
        </w:tc>
        <w:tc>
          <w:tcPr/>
          <w:p>
            <w:pPr>
              <w:pStyle w:val="Compact"/>
            </w:pPr>
            <w:r>
              <w:t xml:space="preserve">Active</w:t>
            </w:r>
            <w:r>
              <w:t xml:space="preserve"> </w:t>
            </w:r>
            <w:r>
              <w:rPr>
                <w:i/>
                <w:iCs/>
              </w:rPr>
              <w:t xml:space="preserve">(pre-canon import)</w:t>
            </w:r>
          </w:p>
        </w:tc>
        <w:tc>
          <w:tcPr/>
          <w:p>
            <w:pPr>
              <w:pStyle w:val="Compact"/>
            </w:pPr>
            <w:r>
              <w:t xml:space="preserve">Cross-listed from Track 2 — the build-vs-buy / gap-analysis anchor for this track.</w:t>
            </w:r>
          </w:p>
        </w:tc>
      </w:tr>
    </w:tbl>
    <w:bookmarkEnd w:id="43"/>
    <w:bookmarkEnd w:id="44"/>
    <w:bookmarkStart w:id="45" w:name="recommended-reading-paths"/>
    <w:p>
      <w:pPr>
        <w:pStyle w:val="Heading2"/>
      </w:pPr>
      <w:r>
        <w:t xml:space="preserve">Recommended reading paths</w:t>
      </w:r>
    </w:p>
    <w:p>
      <w:pPr>
        <w:pStyle w:val="FirstParagraph"/>
      </w:pPr>
      <w:r>
        <w:t xml:space="preserve">Pick the path that matches why the reader opened the site, not the</w:t>
      </w:r>
      <w:r>
        <w:t xml:space="preserve"> </w:t>
      </w:r>
      <w:r>
        <w:t xml:space="preserve">alphabetical file list.</w:t>
      </w:r>
    </w:p>
    <w:p>
      <w:pPr>
        <w:pStyle w:val="BodyText"/>
      </w:pPr>
      <w:r>
        <w:rPr>
          <w:b/>
          <w:bCs/>
        </w:rPr>
        <w:t xml:space="preserve">A federal CIO/CISO with 30 minutes (first exposure)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Modernization Journey</w:t>
        </w:r>
      </w:hyperlink>
      <w:r>
        <w:t xml:space="preserve"> </w:t>
      </w:r>
      <w:r>
        <w:t xml:space="preserve">— the compliance-deadline argument (FedRAMP 20x) and its Call to Action, written to be handed off without modification.</w:t>
      </w:r>
    </w:p>
    <w:p>
      <w:pPr>
        <w:pStyle w:val="FirstParagraph"/>
      </w:pPr>
      <w:r>
        <w:rPr>
          <w:b/>
          <w:bCs/>
        </w:rPr>
        <w:t xml:space="preserve">An assessor validating BOD-25-01 / ZTMM claims</w:t>
      </w:r>
    </w:p>
    <w:p>
      <w:pPr>
        <w:pStyle w:val="Compact"/>
        <w:numPr>
          <w:ilvl w:val="0"/>
          <w:numId w:val="1003"/>
        </w:numPr>
      </w:pPr>
      <w:hyperlink r:id="rId12">
        <w:r>
          <w:rPr>
            <w:rStyle w:val="Hyperlink"/>
          </w:rPr>
          <w:t xml:space="preserve">Federal Compliance for Moderate Agencies</w:t>
        </w:r>
      </w:hyperlink>
      <w:r>
        <w:t xml:space="preserve"> </w:t>
      </w:r>
      <w:r>
        <w:t xml:space="preserve">— confirm which mandates in play actually bind the agency you’re assessing versus its vendors, before diving into any one of them.</w:t>
      </w:r>
    </w:p>
    <w:p>
      <w:pPr>
        <w:pStyle w:val="Compact"/>
        <w:numPr>
          <w:ilvl w:val="0"/>
          <w:numId w:val="1003"/>
        </w:numPr>
      </w:pPr>
      <w:hyperlink r:id="rId25">
        <w:r>
          <w:rPr>
            <w:rStyle w:val="Hyperlink"/>
          </w:rPr>
          <w:t xml:space="preserve">Assessment Tools vs. Closing BOD-25-01 Findings</w:t>
        </w:r>
      </w:hyperlink>
      <w:r>
        <w:t xml:space="preserve"> </w:t>
      </w:r>
      <w:r>
        <w:t xml:space="preserve">— the sequencing argument.</w:t>
      </w:r>
    </w:p>
    <w:p>
      <w:pPr>
        <w:pStyle w:val="Compact"/>
        <w:numPr>
          <w:ilvl w:val="0"/>
          <w:numId w:val="1003"/>
        </w:numPr>
      </w:pPr>
      <w:hyperlink r:id="rId26">
        <w:r>
          <w:rPr>
            <w:rStyle w:val="Hyperlink"/>
          </w:rPr>
          <w:t xml:space="preserve">ScubaGear Integration</w:t>
        </w:r>
      </w:hyperlink>
      <w:r>
        <w:t xml:space="preserve"> </w:t>
      </w:r>
      <w:r>
        <w:t xml:space="preserve">→</w:t>
      </w:r>
      <w:r>
        <w:t xml:space="preserve"> </w:t>
      </w:r>
      <w:hyperlink r:id="rId27">
        <w:r>
          <w:rPr>
            <w:rStyle w:val="Hyperlink"/>
          </w:rPr>
          <w:t xml:space="preserve">ZTA and SCuBA — How They Relate</w:t>
        </w:r>
      </w:hyperlink>
      <w:r>
        <w:t xml:space="preserve"> </w:t>
      </w:r>
      <w:r>
        <w:t xml:space="preserve">— how the evidence is produced and how it differs from Microsoft’s own assessment.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Zero Trust Governance Principles</w:t>
        </w:r>
      </w:hyperlink>
      <w:r>
        <w:t xml:space="preserve"> </w:t>
      </w:r>
      <w:r>
        <w:t xml:space="preserve">— the maturity-model context for what</w:t>
      </w:r>
      <w:r>
        <w:t xml:space="preserve"> </w:t>
      </w:r>
      <w:r>
        <w:t xml:space="preserve">“closed”</w:t>
      </w:r>
      <w:r>
        <w:t xml:space="preserve"> </w:t>
      </w:r>
      <w:r>
        <w:t xml:space="preserve">is being measured against.</w:t>
      </w:r>
    </w:p>
    <w:p>
      <w:pPr>
        <w:pStyle w:val="Compact"/>
        <w:numPr>
          <w:ilvl w:val="0"/>
          <w:numId w:val="1003"/>
        </w:numPr>
      </w:pPr>
      <w:hyperlink r:id="rId28">
        <w:r>
          <w:rPr>
            <w:rStyle w:val="Hyperlink"/>
          </w:rPr>
          <w:t xml:space="preserve">Ticket-to-Machine, Not Ticket-to-Human</w:t>
        </w:r>
      </w:hyperlink>
      <w:r>
        <w:t xml:space="preserve"> </w:t>
      </w:r>
      <w:r>
        <w:t xml:space="preserve">— how closure evidence is distinguished from a changed setting.</w:t>
      </w:r>
    </w:p>
    <w:p>
      <w:pPr>
        <w:pStyle w:val="FirstParagraph"/>
      </w:pPr>
      <w:r>
        <w:rPr>
          <w:b/>
          <w:bCs/>
        </w:rPr>
        <w:t xml:space="preserve">A network/infrastructure architect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Modernization Journey</w:t>
        </w:r>
      </w:hyperlink>
      <w:r>
        <w:t xml:space="preserve"> </w:t>
      </w:r>
      <w:r>
        <w:t xml:space="preserve">— the full arc and the physics argument.</w:t>
      </w:r>
    </w:p>
    <w:p>
      <w:pPr>
        <w:pStyle w:val="Compact"/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SD-WAN vs. DIA Under TIC 3.0</w:t>
        </w:r>
      </w:hyperlink>
      <w:r>
        <w:t xml:space="preserve"> </w:t>
      </w:r>
      <w:r>
        <w:t xml:space="preserve">and</w:t>
      </w:r>
      <w:r>
        <w:t xml:space="preserve"> </w:t>
      </w:r>
      <w:hyperlink r:id="rId32">
        <w:r>
          <w:rPr>
            <w:rStyle w:val="Hyperlink"/>
          </w:rPr>
          <w:t xml:space="preserve">Next Generation DNS</w:t>
        </w:r>
      </w:hyperlink>
      <w:r>
        <w:t xml:space="preserve"> </w:t>
      </w:r>
      <w:r>
        <w:t xml:space="preserve">— read in either order; both sit under Act 4 independently.</w:t>
      </w:r>
    </w:p>
    <w:p>
      <w:pPr>
        <w:pStyle w:val="Compact"/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FMP Git Server Interfaces</w:t>
        </w:r>
      </w:hyperlink>
      <w:r>
        <w:t xml:space="preserve"> </w:t>
      </w:r>
      <w:r>
        <w:t xml:space="preserve">— once an FMP deployment is actually being planned.</w:t>
      </w:r>
    </w:p>
    <w:p>
      <w:pPr>
        <w:pStyle w:val="FirstParagraph"/>
      </w:pPr>
      <w:r>
        <w:rPr>
          <w:b/>
          <w:bCs/>
        </w:rPr>
        <w:t xml:space="preserve">An identity/directory team running an AD → Entra ID modernization</w:t>
      </w:r>
    </w:p>
    <w:p>
      <w:pPr>
        <w:pStyle w:val="Compact"/>
        <w:numPr>
          <w:ilvl w:val="0"/>
          <w:numId w:val="1005"/>
        </w:numPr>
      </w:pPr>
      <w:hyperlink r:id="rId9">
        <w:r>
          <w:rPr>
            <w:rStyle w:val="Hyperlink"/>
          </w:rPr>
          <w:t xml:space="preserve">AD-to-Entra ID Structural Migration Problem</w:t>
        </w:r>
      </w:hyperlink>
      <w:r>
        <w:t xml:space="preserve"> </w:t>
      </w:r>
      <w:r>
        <w:t xml:space="preserve">— the original problem statement.</w:t>
      </w:r>
    </w:p>
    <w:p>
      <w:pPr>
        <w:pStyle w:val="Compact"/>
        <w:numPr>
          <w:ilvl w:val="0"/>
          <w:numId w:val="1005"/>
        </w:numPr>
      </w:pPr>
      <w:hyperlink r:id="rId17">
        <w:r>
          <w:rPr>
            <w:rStyle w:val="Hyperlink"/>
          </w:rPr>
          <w:t xml:space="preserve">Modernization Governance</w:t>
        </w:r>
      </w:hyperlink>
      <w:r>
        <w:t xml:space="preserve"> </w:t>
      </w:r>
      <w:r>
        <w:t xml:space="preserve">→</w:t>
      </w:r>
      <w:r>
        <w:t xml:space="preserve"> </w:t>
      </w:r>
      <w:hyperlink r:id="rId20">
        <w:r>
          <w:rPr>
            <w:rStyle w:val="Hyperlink"/>
          </w:rPr>
          <w:t xml:space="preserve">Modernization Journey</w:t>
        </w:r>
      </w:hyperlink>
      <w:r>
        <w:t xml:space="preserve"> </w:t>
      </w:r>
      <w:r>
        <w:t xml:space="preserve">— governance framing, then the full arc.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Flipping 50,000 Devices to Hybrid Join</w:t>
        </w:r>
      </w:hyperlink>
      <w:r>
        <w:t xml:space="preserve"> </w:t>
      </w:r>
      <w:r>
        <w:t xml:space="preserve">— the first concrete operation to execute inside that arc.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Federal SSOT Alignment</w:t>
        </w:r>
      </w:hyperlink>
      <w:r>
        <w:t xml:space="preserve"> </w:t>
      </w:r>
      <w:r>
        <w:t xml:space="preserve">— the data-governance-mandate framing of the same event.</w:t>
      </w:r>
    </w:p>
    <w:p>
      <w:pPr>
        <w:pStyle w:val="FirstParagraph"/>
      </w:pPr>
      <w:r>
        <w:rPr>
          <w:b/>
          <w:bCs/>
        </w:rPr>
        <w:t xml:space="preserve">Someone evaluating FMP against Microsoft-native tools or a build-vs-buy decision</w:t>
      </w:r>
    </w:p>
    <w:p>
      <w:pPr>
        <w:pStyle w:val="Compact"/>
        <w:numPr>
          <w:ilvl w:val="0"/>
          <w:numId w:val="1006"/>
        </w:numPr>
      </w:pPr>
      <w:r>
        <w:t xml:space="preserve">FMP vs. Native Tools — the gap analysis.</w:t>
      </w:r>
    </w:p>
    <w:p>
      <w:pPr>
        <w:pStyle w:val="FirstParagraph"/>
      </w:pPr>
      <w:r>
        <w:rPr>
          <w:b/>
          <w:bCs/>
        </w:rPr>
        <w:t xml:space="preserve">Reading the whole corpus, start to finish</w:t>
      </w:r>
    </w:p>
    <w:p>
      <w:pPr>
        <w:pStyle w:val="BodyText"/>
      </w:pPr>
      <w:r>
        <w:t xml:space="preserve">Track 1 (all four) → Track 2 (all six) → Track 3 (all four) → Track 4</w:t>
      </w:r>
      <w:r>
        <w:t xml:space="preserve"> </w:t>
      </w:r>
      <w:r>
        <w:t xml:space="preserve">(all four) → Track 5 (the two papers not already read in Track 2). This order</w:t>
      </w:r>
      <w:r>
        <w:t xml:space="preserve"> </w:t>
      </w:r>
      <w:r>
        <w:t xml:space="preserve">front-loads the doctrine (Track 1) before any domain paper assumes it,</w:t>
      </w:r>
      <w:r>
        <w:t xml:space="preserve"> </w:t>
      </w:r>
      <w:r>
        <w:t xml:space="preserve">and reads the two mainframe-to-Zero-Trust narratives back-to-back</w:t>
      </w:r>
      <w:r>
        <w:t xml:space="preserve"> </w:t>
      </w:r>
      <w:r>
        <w:t xml:space="preserve">(Track 2 then Track 4) so the vendor-neutral vs. canon-anchored</w:t>
      </w:r>
      <w:r>
        <w:t xml:space="preserve"> </w:t>
      </w:r>
      <w:r>
        <w:t xml:space="preserve">contrast is visible rather than discovered by accident months apart.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0">
    <w:nsid w:val="00A99410"/>
    <w:multiLevelType w:val="multilevel"/>
    <w:lvl w:ilvl="0">
      <w:start w:val="0"/>
      <w:numFmt w:val="decimal"/>
      <w:lvlText w:val="%1."/>
      <w:lvlJc w:val="left"/>
      <w:pPr>
        <w:ind w:left="720" w:hanging="360"/>
      </w:pPr>
    </w:lvl>
    <w:lvl w:ilvl="1">
      <w:start w:val="0"/>
      <w:numFmt w:val="decimal"/>
      <w:lvlText w:val="%2."/>
      <w:lvlJc w:val="left"/>
      <w:pPr>
        <w:ind w:left="1440" w:hanging="360"/>
      </w:pPr>
    </w:lvl>
    <w:lvl w:ilvl="2">
      <w:start w:val="0"/>
      <w:numFmt w:val="decimal"/>
      <w:lvlText w:val="%3."/>
      <w:lvlJc w:val="left"/>
      <w:pPr>
        <w:ind w:left="2160" w:hanging="360"/>
      </w:pPr>
    </w:lvl>
    <w:lvl w:ilvl="3">
      <w:start w:val="0"/>
      <w:numFmt w:val="decimal"/>
      <w:lvlText w:val="%4."/>
      <w:lvlJc w:val="left"/>
      <w:pPr>
        <w:ind w:left="2880" w:hanging="360"/>
      </w:pPr>
    </w:lvl>
    <w:lvl w:ilvl="4">
      <w:start w:val="0"/>
      <w:numFmt w:val="decimal"/>
      <w:lvlText w:val="%5."/>
      <w:lvlJc w:val="left"/>
      <w:pPr>
        <w:ind w:left="3600" w:hanging="360"/>
      </w:pPr>
    </w:lvl>
    <w:lvl w:ilvl="5">
      <w:start w:val="0"/>
      <w:numFmt w:val="decimal"/>
      <w:lvlText w:val="%6."/>
      <w:lvlJc w:val="left"/>
      <w:pPr>
        <w:ind w:left="4320" w:hanging="360"/>
      </w:pPr>
    </w:lvl>
    <w:lvl w:ilvl="6">
      <w:start w:val="0"/>
      <w:numFmt w:val="decimal"/>
      <w:lvlText w:val="%7."/>
      <w:lvlJc w:val="left"/>
      <w:pPr>
        <w:ind w:left="5040" w:hanging="360"/>
      </w:pPr>
    </w:lvl>
    <w:lvl w:ilvl="7">
      <w:start w:val="0"/>
      <w:numFmt w:val="decimal"/>
      <w:lvlText w:val="%8."/>
      <w:lvlJc w:val="left"/>
      <w:pPr>
        <w:ind w:left="5760" w:hanging="360"/>
      </w:pPr>
    </w:lvl>
    <w:lvl w:ilvl="8">
      <w:start w:val="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0"/>
    <w:lvlOverride w:ilvl="0">
      <w:startOverride w:val="0"/>
    </w:lvlOverride>
    <w:lvlOverride w:ilvl="1">
      <w:startOverride w:val="0"/>
    </w:lvlOverride>
    <w:lvlOverride w:ilvl="2">
      <w:startOverride w:val="0"/>
    </w:lvlOverride>
    <w:lvlOverride w:ilvl="3">
      <w:startOverride w:val="0"/>
    </w:lvlOverride>
    <w:lvlOverride w:ilvl="4">
      <w:startOverride w:val="0"/>
    </w:lvlOverride>
    <w:lvlOverride w:ilvl="5">
      <w:startOverride w:val="0"/>
    </w:lvlOverride>
    <w:lvlOverride w:ilvl="6">
      <w:startOverride w:val="0"/>
    </w:lvlOverride>
    <w:lvlOverride w:ilvl="7">
      <w:startOverride w:val="0"/>
    </w:lvlOverride>
    <w:lvlOverride w:ilvl="8">
      <w:startOverride w:val="0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6" Target="media/rId36.png" /><Relationship Type="http://schemas.openxmlformats.org/officeDocument/2006/relationships/hyperlink" Id="rId40" Target="../hr-driven-iam/index.md" TargetMode="External" /><Relationship Type="http://schemas.openxmlformats.org/officeDocument/2006/relationships/hyperlink" Id="rId9" Target="ad-to-entraid-migration-problem.md" TargetMode="External" /><Relationship Type="http://schemas.openxmlformats.org/officeDocument/2006/relationships/hyperlink" Id="rId25" Target="bod-25-01-close-before-assess.md" TargetMode="External" /><Relationship Type="http://schemas.openxmlformats.org/officeDocument/2006/relationships/hyperlink" Id="rId41" Target="federal-ai-governance-submission-readiness.md" TargetMode="External" /><Relationship Type="http://schemas.openxmlformats.org/officeDocument/2006/relationships/hyperlink" Id="rId12" Target="federal-compliance-for-moderate-agencies.md" TargetMode="External" /><Relationship Type="http://schemas.openxmlformats.org/officeDocument/2006/relationships/hyperlink" Id="rId23" Target="federal-ssot-alignment.md" TargetMode="External" /><Relationship Type="http://schemas.openxmlformats.org/officeDocument/2006/relationships/hyperlink" Id="rId34" Target="field-office-wan-transformation-dp-consolidation.md" TargetMode="External" /><Relationship Type="http://schemas.openxmlformats.org/officeDocument/2006/relationships/hyperlink" Id="rId10" Target="fmp-vs-native-tools.md" TargetMode="External" /><Relationship Type="http://schemas.openxmlformats.org/officeDocument/2006/relationships/hyperlink" Id="rId35" Target="git-server-interfaces-whitepaper.md" TargetMode="External" /><Relationship Type="http://schemas.openxmlformats.org/officeDocument/2006/relationships/hyperlink" Id="rId22" Target="hybrid-join-without-governance.md" TargetMode="External" /><Relationship Type="http://schemas.openxmlformats.org/officeDocument/2006/relationships/hyperlink" Id="rId33" Target="infoblox-dns-reference.md" TargetMode="External" /><Relationship Type="http://schemas.openxmlformats.org/officeDocument/2006/relationships/hyperlink" Id="rId32" Target="infoblox-hybrid-dns-unified-ddi.md" TargetMode="External" /><Relationship Type="http://schemas.openxmlformats.org/officeDocument/2006/relationships/hyperlink" Id="rId17" Target="modernization-governance-whitepaper.md" TargetMode="External" /><Relationship Type="http://schemas.openxmlformats.org/officeDocument/2006/relationships/hyperlink" Id="rId20" Target="modernization-journey.md" TargetMode="External" /><Relationship Type="http://schemas.openxmlformats.org/officeDocument/2006/relationships/hyperlink" Id="rId21" Target="modernization-journey.md#appendix-narrative-provenance-this-arc-mapped-to-fmp-canon" TargetMode="External" /><Relationship Type="http://schemas.openxmlformats.org/officeDocument/2006/relationships/hyperlink" Id="rId26" Target="scubagear-integration-whitepaper.md" TargetMode="External" /><Relationship Type="http://schemas.openxmlformats.org/officeDocument/2006/relationships/hyperlink" Id="rId19" Target="session-vs-telemetry-identity.md" TargetMode="External" /><Relationship Type="http://schemas.openxmlformats.org/officeDocument/2006/relationships/hyperlink" Id="rId31" Target="tic3-sdwan-vs-dia.md" TargetMode="External" /><Relationship Type="http://schemas.openxmlformats.org/officeDocument/2006/relationships/hyperlink" Id="rId29" Target="ticket-to-machine-appendices.md" TargetMode="External" /><Relationship Type="http://schemas.openxmlformats.org/officeDocument/2006/relationships/hyperlink" Id="rId28" Target="ticket-to-machine-not-ticket-to-human.md" TargetMode="External" /><Relationship Type="http://schemas.openxmlformats.org/officeDocument/2006/relationships/hyperlink" Id="rId15" Target="zero-trust-governance-principles.md" TargetMode="External" /><Relationship Type="http://schemas.openxmlformats.org/officeDocument/2006/relationships/hyperlink" Id="rId14" Target="zero-trust-governance-whitepaper.md" TargetMode="External" /><Relationship Type="http://schemas.openxmlformats.org/officeDocument/2006/relationships/hyperlink" Id="rId16" Target="zero-trust-whole-agency-unification.md" TargetMode="External" /><Relationship Type="http://schemas.openxmlformats.org/officeDocument/2006/relationships/hyperlink" Id="rId27" Target="zta-scuba-relationship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../hr-driven-iam/index.md" TargetMode="External" /><Relationship Type="http://schemas.openxmlformats.org/officeDocument/2006/relationships/hyperlink" Id="rId9" Target="ad-to-entraid-migration-problem.md" TargetMode="External" /><Relationship Type="http://schemas.openxmlformats.org/officeDocument/2006/relationships/hyperlink" Id="rId25" Target="bod-25-01-close-before-assess.md" TargetMode="External" /><Relationship Type="http://schemas.openxmlformats.org/officeDocument/2006/relationships/hyperlink" Id="rId41" Target="federal-ai-governance-submission-readiness.md" TargetMode="External" /><Relationship Type="http://schemas.openxmlformats.org/officeDocument/2006/relationships/hyperlink" Id="rId12" Target="federal-compliance-for-moderate-agencies.md" TargetMode="External" /><Relationship Type="http://schemas.openxmlformats.org/officeDocument/2006/relationships/hyperlink" Id="rId23" Target="federal-ssot-alignment.md" TargetMode="External" /><Relationship Type="http://schemas.openxmlformats.org/officeDocument/2006/relationships/hyperlink" Id="rId34" Target="field-office-wan-transformation-dp-consolidation.md" TargetMode="External" /><Relationship Type="http://schemas.openxmlformats.org/officeDocument/2006/relationships/hyperlink" Id="rId10" Target="fmp-vs-native-tools.md" TargetMode="External" /><Relationship Type="http://schemas.openxmlformats.org/officeDocument/2006/relationships/hyperlink" Id="rId35" Target="git-server-interfaces-whitepaper.md" TargetMode="External" /><Relationship Type="http://schemas.openxmlformats.org/officeDocument/2006/relationships/hyperlink" Id="rId22" Target="hybrid-join-without-governance.md" TargetMode="External" /><Relationship Type="http://schemas.openxmlformats.org/officeDocument/2006/relationships/hyperlink" Id="rId33" Target="infoblox-dns-reference.md" TargetMode="External" /><Relationship Type="http://schemas.openxmlformats.org/officeDocument/2006/relationships/hyperlink" Id="rId32" Target="infoblox-hybrid-dns-unified-ddi.md" TargetMode="External" /><Relationship Type="http://schemas.openxmlformats.org/officeDocument/2006/relationships/hyperlink" Id="rId17" Target="modernization-governance-whitepaper.md" TargetMode="External" /><Relationship Type="http://schemas.openxmlformats.org/officeDocument/2006/relationships/hyperlink" Id="rId20" Target="modernization-journey.md" TargetMode="External" /><Relationship Type="http://schemas.openxmlformats.org/officeDocument/2006/relationships/hyperlink" Id="rId21" Target="modernization-journey.md#appendix-narrative-provenance-this-arc-mapped-to-fmp-canon" TargetMode="External" /><Relationship Type="http://schemas.openxmlformats.org/officeDocument/2006/relationships/hyperlink" Id="rId26" Target="scubagear-integration-whitepaper.md" TargetMode="External" /><Relationship Type="http://schemas.openxmlformats.org/officeDocument/2006/relationships/hyperlink" Id="rId19" Target="session-vs-telemetry-identity.md" TargetMode="External" /><Relationship Type="http://schemas.openxmlformats.org/officeDocument/2006/relationships/hyperlink" Id="rId31" Target="tic3-sdwan-vs-dia.md" TargetMode="External" /><Relationship Type="http://schemas.openxmlformats.org/officeDocument/2006/relationships/hyperlink" Id="rId29" Target="ticket-to-machine-appendices.md" TargetMode="External" /><Relationship Type="http://schemas.openxmlformats.org/officeDocument/2006/relationships/hyperlink" Id="rId28" Target="ticket-to-machine-not-ticket-to-human.md" TargetMode="External" /><Relationship Type="http://schemas.openxmlformats.org/officeDocument/2006/relationships/hyperlink" Id="rId15" Target="zero-trust-governance-principles.md" TargetMode="External" /><Relationship Type="http://schemas.openxmlformats.org/officeDocument/2006/relationships/hyperlink" Id="rId14" Target="zero-trust-governance-whitepaper.md" TargetMode="External" /><Relationship Type="http://schemas.openxmlformats.org/officeDocument/2006/relationships/hyperlink" Id="rId16" Target="zero-trust-whole-agency-unification.md" TargetMode="External" /><Relationship Type="http://schemas.openxmlformats.org/officeDocument/2006/relationships/hyperlink" Id="rId27" Target="zta-scuba-relationship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Whitepaper Reading Guide</dc:title>
  <dc:creator>Michael Stratton</dc:creator>
  <cp:keywords/>
  <dcterms:created xsi:type="dcterms:W3CDTF">2026-10-19T10:11:55Z</dcterms:created>
  <dcterms:modified xsi:type="dcterms:W3CDTF">2026-10-19T10:11:55Z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dience">
    <vt:lpwstr>Federal CIO/CISO · assessors · architects · engineers · research audience</vt:lpwstr>
  </property>
  <property fmtid="{D5CDD505-2E9C-101B-9397-08002B2CF9AE}" pid="3" name="authors">
    <vt:lpwstr/>
  </property>
  <property fmtid="{D5CDD505-2E9C-101B-9397-08002B2CF9AE}" pid="4" name="biblio-config">
    <vt:lpwstr>True</vt:lpwstr>
  </property>
  <property fmtid="{D5CDD505-2E9C-101B-9397-08002B2CF9AE}" pid="5" name="by-author">
    <vt:lpwstr/>
  </property>
  <property fmtid="{D5CDD505-2E9C-101B-9397-08002B2CF9AE}" pid="6" name="canon-source">
    <vt:lpwstr>docs/customer-documents/whitepapers/</vt:lpwstr>
  </property>
  <property fmtid="{D5CDD505-2E9C-101B-9397-08002B2CF9AE}" pid="7" name="created-at">
    <vt:lpwstr>2026-08-03</vt:lpwstr>
  </property>
  <property fmtid="{D5CDD505-2E9C-101B-9397-08002B2CF9AE}" pid="8" name="date">
    <vt:lpwstr>2026-08-01</vt:lpwstr>
  </property>
  <property fmtid="{D5CDD505-2E9C-101B-9397-08002B2CF9AE}" pid="9" name="derived-from">
    <vt:lpwstr>Synthesis of this section’s own whitepapers — their frontmatter (status, canon anchors) and content. Makes explicit a set of cross-references that do not exist in any individual paper today; carries no independent canon claims of its own.</vt:lpwstr>
  </property>
  <property fmtid="{D5CDD505-2E9C-101B-9397-08002B2CF9AE}" pid="10" name="doc-type">
    <vt:lpwstr>reference</vt:lpwstr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labels">
    <vt:lpwstr/>
  </property>
  <property fmtid="{D5CDD505-2E9C-101B-9397-08002B2CF9AE}" pid="15" name="lifecycle">
    <vt:lpwstr>adopted</vt:lpwstr>
  </property>
  <property fmtid="{D5CDD505-2E9C-101B-9397-08002B2CF9AE}" pid="16" name="lifecycle_review">
    <vt:lpwstr>2026-11-22</vt:lpwstr>
  </property>
  <property fmtid="{D5CDD505-2E9C-101B-9397-08002B2CF9AE}" pid="17" name="subtitle">
    <vt:lpwstr>How the 29 papers relate, and recommended paths through them</vt:lpwstr>
  </property>
  <property fmtid="{D5CDD505-2E9C-101B-9397-08002B2CF9AE}" pid="18" name="tiers_adopted">
    <vt:lpwstr/>
  </property>
  <property fmtid="{D5CDD505-2E9C-101B-9397-08002B2CF9AE}" pid="19" name="toc-title">
    <vt:lpwstr>Table of contents</vt:lpwstr>
  </property>
  <property fmtid="{D5CDD505-2E9C-101B-9397-08002B2CF9AE}" pid="20" name="updated-at">
    <vt:lpwstr>2026-08-03</vt:lpwstr>
  </property>
  <property fmtid="{D5CDD505-2E9C-101B-9397-08002B2CF9AE}" pid="21" name="version">
    <vt:lpwstr>1.0</vt:lpwstr>
  </property>
</Properties>
</file>