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ScubaGear Integration — Whitepaper</w:t>
      </w:r>
    </w:p>
    <w:p>
      <w:pPr>
        <w:pStyle w:val="Subtitle"/>
      </w:pPr>
      <w:r>
        <w:t xml:space="preserve">Connecting CISA ScubaGear outputs to FMP’s evidence pipeline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2026-06-01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8" w:name="scubagear-integration"/>
    <w:p>
      <w:pPr>
        <w:pStyle w:val="Heading1"/>
      </w:pPr>
      <w:r>
        <w:t xml:space="preserve">ScubaGear Integration</w:t>
      </w:r>
    </w:p>
    <w:bookmarkStart w:id="27" w:name="X039d5989703db69c7bbd3f4e66fde12c66ab7a8"/>
    <w:p>
      <w:pPr>
        <w:pStyle w:val="Heading2"/>
      </w:pPr>
      <w:r>
        <w:t xml:space="preserve">Connecting CISA ScubaGear outputs to FMP’s evidence pipeline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ScubaGear is widely deployed but operated as a point assessor —</w:t>
            </w:r>
            <w:r>
              <w:t xml:space="preserve"> </w:t>
            </w:r>
            <w:r>
              <w:t xml:space="preserve">someone runs it, archives the report, and revisits it at audit time. Its</w:t>
            </w:r>
            <w:r>
              <w:t xml:space="preserve"> </w:t>
            </w:r>
            <w:r>
              <w:t xml:space="preserve">findings carry no provenance into the ATO package, no drift taxonomy, and no</w:t>
            </w:r>
            <w:r>
              <w:t xml:space="preserve"> </w:t>
            </w:r>
            <w:r>
              <w:t xml:space="preserve">link to the KSI rules they bear on.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Register ScubaGear as the canonical Phase-1 conformance/policy</w:t>
            </w:r>
            <w:r>
              <w:t xml:space="preserve"> </w:t>
            </w:r>
            <w:r>
              <w:t xml:space="preserve">adapter for M365 (</w:t>
            </w:r>
            <w:r>
              <w:rPr>
                <w:rStyle w:val="VerbatimChar"/>
              </w:rPr>
              <w:t xml:space="preserve">adapter-registry.yaml</w:t>
            </w:r>
            <w:r>
              <w:t xml:space="preserve">): its OPA/Rego evaluations become</w:t>
            </w:r>
            <w:r>
              <w:t xml:space="preserve"> </w:t>
            </w:r>
            <w:r>
              <w:t xml:space="preserve">canonical claims inside a provenance envelope, map through canon onto KSI</w:t>
            </w:r>
            <w:r>
              <w:t xml:space="preserve"> </w:t>
            </w:r>
            <w:r>
              <w:t xml:space="preserve">rules, emit deterministic OSCAL, and participate in the substrate-wide drift</w:t>
            </w:r>
            <w:r>
              <w:t xml:space="preserve"> </w:t>
            </w:r>
            <w:r>
              <w:t xml:space="preserve">engine — observe-only in GCC-Moderate, never mutating SSOT.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Run the adapter through the canonical runner; move accepted</w:t>
            </w:r>
            <w:r>
              <w:t xml:space="preserve"> </w:t>
            </w:r>
            <w:r>
              <w:t xml:space="preserve">exceptions out of Word documents and into canon exception declarations; pair</w:t>
            </w:r>
            <w:r>
              <w:t xml:space="preserve"> </w:t>
            </w:r>
            <w:r>
              <w:t xml:space="preserve">it with compensating-enforcement adapters where SCuBA observes but cannot</w:t>
            </w:r>
            <w:r>
              <w:t xml:space="preserve"> </w:t>
            </w:r>
            <w:r>
              <w:t xml:space="preserve">enforce; and surface interval-to-interval drift findings to the AO, not only</w:t>
            </w:r>
            <w:r>
              <w:t xml:space="preserve"> </w:t>
            </w:r>
            <w:r>
              <w:t xml:space="preserve">to security operations (§7).</w:t>
            </w:r>
          </w:p>
          <w:p/>
        </w:tc>
      </w:tr>
    </w:tbl>
    <w:bookmarkStart w:id="12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CISA ScubaGear is the federal community’s PowerShell-based assessor that</w:t>
      </w:r>
      <w:r>
        <w:t xml:space="preserve"> </w:t>
      </w:r>
      <w:r>
        <w:t xml:space="preserve">evaluates Microsoft 365 tenant state against the</w:t>
      </w:r>
      <w:r>
        <w:t xml:space="preserve"> </w:t>
      </w:r>
      <w:r>
        <w:rPr>
          <w:b/>
          <w:bCs/>
        </w:rPr>
        <w:t xml:space="preserve">Secure Cloud Business</w:t>
      </w:r>
      <w:r>
        <w:rPr>
          <w:b/>
          <w:bCs/>
        </w:rPr>
        <w:t xml:space="preserve"> </w:t>
      </w:r>
      <w:r>
        <w:rPr>
          <w:b/>
          <w:bCs/>
        </w:rPr>
        <w:t xml:space="preserve">Applications (SCuBA)</w:t>
      </w:r>
      <w:r>
        <w:t xml:space="preserve"> </w:t>
      </w:r>
      <w:r>
        <w:t xml:space="preserve">baseline. It is widely deployed but is typically</w:t>
      </w:r>
      <w:r>
        <w:t xml:space="preserve"> </w:t>
      </w:r>
      <w:r>
        <w:t xml:space="preserve">operated as a</w:t>
      </w:r>
      <w:r>
        <w:t xml:space="preserve"> </w:t>
      </w:r>
      <w:r>
        <w:rPr>
          <w:b/>
          <w:bCs/>
        </w:rPr>
        <w:t xml:space="preserve">point assessor</w:t>
      </w:r>
      <w:r>
        <w:t xml:space="preserve">: someone runs it, archives the report,</w:t>
      </w:r>
      <w:r>
        <w:t xml:space="preserve"> </w:t>
      </w:r>
      <w:r>
        <w:t xml:space="preserve">and revisits it at audit time.</w:t>
      </w:r>
    </w:p>
    <w:p>
      <w:pPr>
        <w:pStyle w:val="BodyText"/>
      </w:pPr>
      <w:r>
        <w:t xml:space="preserve">FMP’s substrate treats ScubaGear differently. Per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,</w:t>
      </w:r>
      <w:r>
        <w:t xml:space="preserve"> </w:t>
      </w:r>
      <w:r>
        <w:t xml:space="preserve">ScubaGear is registered as the canonical</w:t>
      </w:r>
      <w:r>
        <w:t xml:space="preserve"> </w:t>
      </w:r>
      <w:r>
        <w:rPr>
          <w:b/>
          <w:bCs/>
        </w:rPr>
        <w:t xml:space="preserve">Phase-1 conformance / policy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for M365 — meaning its outputs flow through the canonical</w:t>
      </w:r>
      <w:r>
        <w:t xml:space="preserve"> </w:t>
      </w:r>
      <w:r>
        <w:t xml:space="preserve">evidence chain, its findings carry the canonical drift taxonomy, and its</w:t>
      </w:r>
      <w:r>
        <w:t xml:space="preserve"> </w:t>
      </w:r>
      <w:r>
        <w:t xml:space="preserve">report is one input to a continuous evidence pipeline rather than a</w:t>
      </w:r>
      <w:r>
        <w:t xml:space="preserve"> </w:t>
      </w:r>
      <w:r>
        <w:t xml:space="preserve">freestanding document.</w:t>
      </w:r>
    </w:p>
    <w:p>
      <w:pPr>
        <w:pStyle w:val="BodyText"/>
      </w:pPr>
      <w:r>
        <w:t xml:space="preserve">This whitepaper explains the structural integration: what the ScubaGear</w:t>
      </w:r>
      <w:r>
        <w:t xml:space="preserve"> </w:t>
      </w:r>
      <w:r>
        <w:t xml:space="preserve">adapter provides, how its OPA/Rego policy evaluations map onto FMP’s</w:t>
      </w:r>
      <w:r>
        <w:t xml:space="preserve"> </w:t>
      </w:r>
      <w:r>
        <w:t xml:space="preserve">canonical claims, and what an agency can do today versus what extends</w:t>
      </w:r>
      <w:r>
        <w:t xml:space="preserve"> </w:t>
      </w:r>
      <w:r>
        <w:t xml:space="preserve">the integration into target maturity.</w:t>
      </w:r>
    </w:p>
    <w:p>
      <w:pPr>
        <w:pStyle w:val="BodyText"/>
      </w:pPr>
      <w:r>
        <w:t xml:space="preserve">The companion technical surface is the</w:t>
      </w:r>
      <w:r>
        <w:t xml:space="preserve"> </w:t>
      </w:r>
      <w:r>
        <w:t xml:space="preserve">ScubaGear Adapter Spec, which</w:t>
      </w:r>
      <w:r>
        <w:t xml:space="preserve"> </w:t>
      </w:r>
      <w:r>
        <w:t xml:space="preserve">documents the runtime contract, configuration, and outputs in adapter-</w:t>
      </w:r>
      <w:r>
        <w:t xml:space="preserve"> </w:t>
      </w:r>
      <w:r>
        <w:t xml:space="preserve">implementer terms.</w:t>
      </w:r>
    </w:p>
    <w:bookmarkEnd w:id="12"/>
    <w:bookmarkStart w:id="13" w:name="scubagear-as-a-registered-adapter"/>
    <w:p>
      <w:pPr>
        <w:pStyle w:val="Heading3"/>
      </w:pPr>
      <w:r>
        <w:t xml:space="preserve">1. ScubaGear as a registered adapter</w:t>
      </w:r>
    </w:p>
    <w:p>
      <w:pPr>
        <w:pStyle w:val="FirstParagraph"/>
      </w:pPr>
      <w:r>
        <w:t xml:space="preserve">The ScubaGear adapter’s canonical declaration (excerpt — the full entry</w:t>
      </w:r>
      <w:r>
        <w:t xml:space="preserve"> </w:t>
      </w:r>
      <w:r>
        <w:t xml:space="preserve">adds policy-engine/pin, scope, outputs, controls, and invariants):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scubagear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CISA ScubaGear (M365 SCuBA Assessor)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class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conformance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mission-class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policy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status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active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phase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phase-1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vendor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CISA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license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CC0-1.0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runtime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windows-powershell-5.1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runtime-version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"1.8.0"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runner-class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github-hosted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tenancy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per-customer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evidence-class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interval</w:t>
      </w:r>
      <w:r>
        <w:br/>
      </w:r>
      <w:r>
        <w:rPr>
          <w:rStyle w:val="AttributeTok"/>
        </w:rPr>
        <w:t xml:space="preserve"> </w:t>
      </w:r>
      <w:r>
        <w:rPr>
          <w:rStyle w:val="FunctionTok"/>
        </w:rPr>
        <w:t xml:space="preserve">retention-years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3</w:t>
      </w:r>
    </w:p>
    <w:p>
      <w:pPr>
        <w:pStyle w:val="FirstParagraph"/>
      </w:pPr>
      <w:r>
        <w:t xml:space="preserve">Source: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Scope note — SCuBA is no longer M365-only.</w:t>
      </w:r>
      <w:r>
        <w:t xml:space="preserve"> </w:t>
      </w:r>
      <w:r>
        <w:t xml:space="preserve">CISA’s Google Workspace</w:t>
      </w:r>
      <w:r>
        <w:t xml:space="preserve"> </w:t>
      </w:r>
      <w:r>
        <w:t xml:space="preserve">baselines have carried BOD 25-01 Requirement indicators since 10 July 2026,</w:t>
      </w:r>
      <w:r>
        <w:t xml:space="preserve"> </w:t>
      </w:r>
      <w:r>
        <w:t xml:space="preserve">ScubaGoggles reached v1.0.0 general availability on 24 July 2026, and</w:t>
      </w:r>
      <w:r>
        <w:t xml:space="preserve"> </w:t>
      </w:r>
      <w:r>
        <w:t xml:space="preserve">ScubaConnect now runs both assessors.</w:t>
      </w:r>
      <w:r>
        <w:t xml:space="preserve"> </w:t>
      </w:r>
      <w:r>
        <w:rPr>
          <w:b/>
          <w:bCs/>
        </w:rPr>
        <w:t xml:space="preserve">FMP’s adapter registry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ScubaGoggles entry.</w:t>
      </w:r>
      <w:r>
        <w:t xml:space="preserve"> </w:t>
      </w:r>
      <w:r>
        <w:t xml:space="preserve">That is a real coverage gap, stated here rather than</w:t>
      </w:r>
      <w:r>
        <w:t xml:space="preserve"> </w:t>
      </w:r>
      <w:r>
        <w:t xml:space="preserve">papered over: an agency with a Workspace tenant is in BOD 25-01 scope and</w:t>
      </w:r>
      <w:r>
        <w:t xml:space="preserve"> </w:t>
      </w:r>
      <w:r>
        <w:t xml:space="preserve">this integration does not yet reach it. Registering an adapter that has not</w:t>
      </w:r>
      <w:r>
        <w:t xml:space="preserve"> </w:t>
      </w:r>
      <w:r>
        <w:t xml:space="preserve">been built would be worse than the gap.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runtime</w:t>
      </w:r>
      <w:r>
        <w:t xml:space="preserve"> </w:t>
      </w:r>
      <w:r>
        <w:t xml:space="preserve">value is not cosmetic. ScubaGear requires</w:t>
      </w:r>
      <w:r>
        <w:t xml:space="preserve"> </w:t>
      </w:r>
      <w:r>
        <w:rPr>
          <w:b/>
          <w:bCs/>
        </w:rPr>
        <w:t xml:space="preserve">Windows</w:t>
      </w:r>
      <w:r>
        <w:rPr>
          <w:b/>
          <w:bCs/>
        </w:rPr>
        <w:t xml:space="preserve"> </w:t>
      </w:r>
      <w:r>
        <w:rPr>
          <w:b/>
          <w:bCs/>
        </w:rPr>
        <w:t xml:space="preserve">PowerShell 5.1</w:t>
      </w:r>
      <w:r>
        <w:t xml:space="preserve"> </w:t>
      </w:r>
      <w:r>
        <w:t xml:space="preserve">and does not support PowerShell 7, so the adapter runs</w:t>
      </w:r>
      <w:r>
        <w:t xml:space="preserve"> </w:t>
      </w:r>
      <w:r>
        <w:t xml:space="preserve">only on Windows. The Phase-1</w:t>
      </w:r>
      <w:r>
        <w:t xml:space="preserve"> </w:t>
      </w:r>
      <w:r>
        <w:rPr>
          <w:rStyle w:val="VerbatimChar"/>
        </w:rPr>
        <w:t xml:space="preserve">runner-class: github-hosted</w:t>
      </w:r>
      <w:r>
        <w:t xml:space="preserve"> </w:t>
      </w:r>
      <w:r>
        <w:t xml:space="preserve">therefore means</w:t>
      </w:r>
      <w:r>
        <w:t xml:space="preserve"> </w:t>
      </w:r>
      <w:r>
        <w:rPr>
          <w:rStyle w:val="VerbatimChar"/>
        </w:rPr>
        <w:t xml:space="preserve">windows-latest</w:t>
      </w:r>
      <w:r>
        <w:t xml:space="preserve">; a default Ubuntu runner cannot execute it at all.</w:t>
      </w:r>
    </w:p>
    <w:p>
      <w:pPr>
        <w:pStyle w:val="BodyText"/>
      </w:pPr>
      <w:r>
        <w:t xml:space="preserve">Five canonical properties matter for an authorizing official: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class: conformance</w:t>
      </w:r>
      <w:r>
        <w:t xml:space="preserve"> </w:t>
      </w:r>
      <w:r>
        <w:t xml:space="preserve">— ScubaGear observes; it does not mutate</w:t>
      </w:r>
      <w:r>
        <w:t xml:space="preserve"> </w:t>
      </w:r>
      <w:r>
        <w:t xml:space="preserve">tenant state. Evidence emitted is read-only.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mission-class: policy</w:t>
      </w:r>
      <w:r>
        <w:t xml:space="preserve"> </w:t>
      </w:r>
      <w:r>
        <w:t xml:space="preserve">— it evaluates state against canonical</w:t>
      </w:r>
      <w:r>
        <w:t xml:space="preserve"> </w:t>
      </w:r>
      <w:r>
        <w:t xml:space="preserve">policies (the SCuBA OPA/Rego baselines), distinguishing it from</w:t>
      </w:r>
      <w:r>
        <w:t xml:space="preserve"> </w:t>
      </w:r>
      <w:r>
        <w:t xml:space="preserve">pure telemetry adapters.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gcc-boundary: gcc-moderate</w:t>
      </w:r>
      <w:r>
        <w:t xml:space="preserve"> </w:t>
      </w:r>
      <w:r>
        <w:t xml:space="preserve">(canon invariant) — the adapter is</w:t>
      </w:r>
      <w:r>
        <w:t xml:space="preserve"> </w:t>
      </w:r>
      <w:r>
        <w:t xml:space="preserve">designed to operate inside GCC-Moderate, with explicit treatment of</w:t>
      </w:r>
      <w:r>
        <w:t xml:space="preserve"> </w:t>
      </w:r>
      <w:r>
        <w:t xml:space="preserve">the boundary impact.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evidence-class: interval</w:t>
      </w:r>
      <w:r>
        <w:t xml:space="preserve"> </w:t>
      </w:r>
      <w:r>
        <w:t xml:space="preserve">— findings carry a time interval, not</w:t>
      </w:r>
      <w:r>
        <w:t xml:space="preserve"> </w:t>
      </w:r>
      <w:r>
        <w:t xml:space="preserve">a single instant. The canonical claim shape preserves this directly.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retention-years: 3</w:t>
      </w:r>
      <w:r>
        <w:t xml:space="preserve"> </w:t>
      </w:r>
      <w:r>
        <w:t xml:space="preserve">— retention is canonical, not operator-</w:t>
      </w:r>
      <w:r>
        <w:t xml:space="preserve"> </w:t>
      </w:r>
      <w:r>
        <w:t xml:space="preserve">chosen.</w:t>
      </w:r>
    </w:p>
    <w:p>
      <w:pPr>
        <w:pStyle w:val="FirstParagraph"/>
      </w:pPr>
      <w:r>
        <w:t xml:space="preserve">Registration in canon means the adapter’s behavior is governed by the</w:t>
      </w:r>
      <w:r>
        <w:t xml:space="preserve"> </w:t>
      </w:r>
      <w:r>
        <w:t xml:space="preserve">substrate’s drift engine: a ScubaGear configuration that emits outside</w:t>
      </w:r>
      <w:r>
        <w:t xml:space="preserve"> </w:t>
      </w:r>
      <w:r>
        <w:t xml:space="preserve">its declared envelope is a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finding, and a registry edit</w:t>
      </w:r>
      <w:r>
        <w:t xml:space="preserve"> </w:t>
      </w:r>
      <w:r>
        <w:t xml:space="preserve">that breaks the schema is a</w:t>
      </w:r>
      <w:r>
        <w:t xml:space="preserve"> </w:t>
      </w:r>
      <w:r>
        <w:rPr>
          <w:rStyle w:val="VerbatimChar"/>
        </w:rPr>
        <w:t xml:space="preserve">DRIFT-SCHEMA</w:t>
      </w:r>
      <w:r>
        <w:t xml:space="preserve"> </w:t>
      </w:r>
      <w:r>
        <w:t xml:space="preserve">finding caught in CI.</w:t>
      </w:r>
    </w:p>
    <w:bookmarkEnd w:id="13"/>
    <w:bookmarkStart w:id="14" w:name="Xb5321b88564a1f890aa7bf4888b265e4e4b0c80"/>
    <w:p>
      <w:pPr>
        <w:pStyle w:val="Heading3"/>
      </w:pPr>
      <w:r>
        <w:t xml:space="preserve">2. From OPA/Rego policies to canonical claims</w:t>
      </w:r>
    </w:p>
    <w:p>
      <w:pPr>
        <w:pStyle w:val="FirstParagraph"/>
      </w:pPr>
      <w:r>
        <w:t xml:space="preserve">ScubaGear’s evaluation engine produces per-policy results: pass / fail /</w:t>
      </w:r>
      <w:r>
        <w:t xml:space="preserve"> </w:t>
      </w:r>
      <w:r>
        <w:t xml:space="preserve">manual / not-applicable, plus narrative detail. The FMP adapter wraps</w:t>
      </w:r>
      <w:r>
        <w:t xml:space="preserve"> </w:t>
      </w:r>
      <w:r>
        <w:t xml:space="preserve">each result in the canonical provenance envelope (per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) and</w:t>
      </w:r>
      <w:r>
        <w:t xml:space="preserve"> </w:t>
      </w:r>
      <w:r>
        <w:t xml:space="preserve">maps it onto canonical KSI rules via the KSI mapping table at</w:t>
      </w:r>
      <w:r>
        <w:t xml:space="preserve"> </w:t>
      </w:r>
      <w:r>
        <w:rPr>
          <w:rStyle w:val="VerbatimChar"/>
        </w:rPr>
        <w:t xml:space="preserve">fmp-control-to-ksi-mapping.yaml</w:t>
      </w:r>
      <w:r>
        <w:t xml:space="preserve">.</w:t>
      </w:r>
    </w:p>
    <w:p>
      <w:pPr>
        <w:pStyle w:val="BodyText"/>
      </w:pPr>
      <w:r>
        <w:t xml:space="preserve">The mapping yields three structural properties:</w:t>
      </w:r>
    </w:p>
    <w:p>
      <w:pPr>
        <w:pStyle w:val="BodyText"/>
      </w:pPr>
      <w:r>
        <w:rPr>
          <w:b/>
          <w:bCs/>
        </w:rPr>
        <w:t xml:space="preserve">Property 1 — every SCuBA policy result is a canonical claim.</w:t>
      </w:r>
      <w:r>
        <w:t xml:space="preserve"> </w:t>
      </w:r>
      <w:r>
        <w:t xml:space="preserve">Each</w:t>
      </w:r>
      <w:r>
        <w:t xml:space="preserve"> </w:t>
      </w:r>
      <w:r>
        <w:t xml:space="preserve">finding carries</w:t>
      </w:r>
      <w:r>
        <w:t xml:space="preserve"> </w:t>
      </w:r>
      <w:r>
        <w:rPr>
          <w:rStyle w:val="VerbatimChar"/>
        </w:rPr>
        <w:t xml:space="preserve">claim_id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issuer_identity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source_classification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extraction_timestamp</w:t>
      </w:r>
      <w:r>
        <w:t xml:space="preserve">,</w:t>
      </w:r>
      <w:r>
        <w:t xml:space="preserve"> </w:t>
      </w:r>
      <w:r>
        <w:rPr>
          <w:rStyle w:val="VerbatimChar"/>
        </w:rPr>
        <w:t xml:space="preserve">lineage_hash</w:t>
      </w:r>
      <w:r>
        <w:t xml:space="preserve">. There is no</w:t>
      </w:r>
      <w:r>
        <w:t xml:space="preserve"> </w:t>
      </w:r>
      <w:r>
        <w:t xml:space="preserve">“raw ScubaGear</w:t>
      </w:r>
      <w:r>
        <w:t xml:space="preserve"> </w:t>
      </w:r>
      <w:r>
        <w:t xml:space="preserve">result”</w:t>
      </w:r>
      <w:r>
        <w:t xml:space="preserve"> </w:t>
      </w:r>
      <w:r>
        <w:t xml:space="preserve">floating outside canon — every emission is structured.</w:t>
      </w:r>
    </w:p>
    <w:p>
      <w:pPr>
        <w:pStyle w:val="BodyText"/>
      </w:pPr>
      <w:r>
        <w:rPr>
          <w:b/>
          <w:bCs/>
        </w:rPr>
        <w:t xml:space="preserve">Property 2 — KSI mapping is canon-anchored.</w:t>
      </w:r>
      <w:r>
        <w:t xml:space="preserve"> </w:t>
      </w:r>
      <w:r>
        <w:t xml:space="preserve">The translation from a</w:t>
      </w:r>
      <w:r>
        <w:t xml:space="preserve"> </w:t>
      </w:r>
      <w:r>
        <w:t xml:space="preserve">SCuBA policy to a KSI rule is in canon, not in the adapter code. Adapter</w:t>
      </w:r>
      <w:r>
        <w:t xml:space="preserve"> </w:t>
      </w:r>
      <w:r>
        <w:t xml:space="preserve">authors cannot silently re-map a policy; mapping changes go through</w:t>
      </w:r>
      <w:r>
        <w:t xml:space="preserve"> </w:t>
      </w:r>
      <w:r>
        <w:t xml:space="preserve">schema-validated registry edits.</w:t>
      </w:r>
    </w:p>
    <w:p>
      <w:pPr>
        <w:pStyle w:val="BodyText"/>
      </w:pPr>
      <w:r>
        <w:rPr>
          <w:b/>
          <w:bCs/>
        </w:rPr>
        <w:t xml:space="preserve">Property 3 — interval evidence is preserved.</w:t>
      </w:r>
      <w:r>
        <w:t xml:space="preserve"> </w:t>
      </w:r>
      <w:r>
        <w:t xml:space="preserve">ScubaGear runs on an</w:t>
      </w:r>
      <w:r>
        <w:t xml:space="preserve"> </w:t>
      </w:r>
      <w:r>
        <w:t xml:space="preserve">interval (workflow_dispatch, scheduled, or repository_dispatch). Each</w:t>
      </w:r>
      <w:r>
        <w:t xml:space="preserve"> </w:t>
      </w:r>
      <w:r>
        <w:t xml:space="preserve">run’s claims carry the interval explicitly, and the bundle assembly</w:t>
      </w:r>
      <w:r>
        <w:t xml:space="preserve"> </w:t>
      </w:r>
      <w:r>
        <w:t xml:space="preserve">respects that —</w:t>
      </w:r>
      <w:r>
        <w:t xml:space="preserve"> </w:t>
      </w:r>
      <w:r>
        <w:rPr>
          <w:rStyle w:val="VerbatimChar"/>
        </w:rPr>
        <w:t xml:space="preserve">evidence-class: interval</w:t>
      </w:r>
      <w:r>
        <w:t xml:space="preserve"> </w:t>
      </w:r>
      <w:r>
        <w:t xml:space="preserve">is not a hint, it is a</w:t>
      </w:r>
      <w:r>
        <w:t xml:space="preserve"> </w:t>
      </w:r>
      <w:r>
        <w:t xml:space="preserve">canonical attribute that the OSCAL emission consumes.</w:t>
      </w:r>
    </w:p>
    <w:bookmarkEnd w:id="14"/>
    <w:bookmarkStart w:id="15" w:name="Xa6e1c03750d5a96bc09251b1740c433c9f19750"/>
    <w:p>
      <w:pPr>
        <w:pStyle w:val="Heading3"/>
      </w:pPr>
      <w:r>
        <w:t xml:space="preserve">3. Where ScubaGear lands in the evidence chain</w:t>
      </w:r>
    </w:p>
    <w:p>
      <w:pPr>
        <w:pStyle w:val="FirstParagraph"/>
      </w:pPr>
      <w:r>
        <w:t xml:space="preserve">The four-stage evidence pipeline (see</w:t>
      </w:r>
      <w:r>
        <w:t xml:space="preserve"> </w:t>
      </w:r>
      <w:r>
        <w:t xml:space="preserve">Evidence Chain):</w:t>
      </w:r>
    </w:p>
    <w:p>
      <w:pPr>
        <w:pStyle w:val="SourceCode"/>
      </w:pPr>
      <w:r>
        <w:rPr>
          <w:rStyle w:val="VerbatimChar"/>
        </w:rPr>
        <w:t xml:space="preserve">ScubaGear run → claim normalization → bundle assembly+seal → OSCAL artifact</w:t>
      </w:r>
    </w:p>
    <w:p>
      <w:pPr>
        <w:pStyle w:val="FirstParagraph"/>
      </w:pPr>
      <w:r>
        <w:t xml:space="preserve">For an FMP-anchored M365 deployment, ScubaGear is one of the canonical</w:t>
      </w:r>
      <w:r>
        <w:t xml:space="preserve"> </w:t>
      </w:r>
      <w:r>
        <w:t xml:space="preserve">inputs at stage 1. Its findings:</w:t>
      </w:r>
    </w:p>
    <w:p>
      <w:pPr>
        <w:pStyle w:val="Compact"/>
        <w:numPr>
          <w:ilvl w:val="0"/>
          <w:numId w:val="1002"/>
        </w:numPr>
      </w:pPr>
      <w:r>
        <w:t xml:space="preserve">Feed the</w:t>
      </w:r>
      <w:r>
        <w:t xml:space="preserve"> </w:t>
      </w:r>
      <w:r>
        <w:rPr>
          <w:b/>
          <w:bCs/>
        </w:rPr>
        <w:t xml:space="preserve">KSI dashboard</w:t>
      </w:r>
      <w:r>
        <w:t xml:space="preserve"> </w:t>
      </w:r>
      <w:r>
        <w:t xml:space="preserve">for the M365 controls SCuBA covers.</w:t>
      </w:r>
    </w:p>
    <w:p>
      <w:pPr>
        <w:pStyle w:val="Compact"/>
        <w:numPr>
          <w:ilvl w:val="0"/>
          <w:numId w:val="1002"/>
        </w:numPr>
      </w:pPr>
      <w:r>
        <w:t xml:space="preserve">Populate</w:t>
      </w:r>
      <w:r>
        <w:t xml:space="preserve"> </w:t>
      </w:r>
      <w:r>
        <w:rPr>
          <w:b/>
          <w:bCs/>
        </w:rPr>
        <w:t xml:space="preserve">SSP narratives</w:t>
      </w:r>
      <w:r>
        <w:t xml:space="preserve"> </w:t>
      </w:r>
      <w:r>
        <w:t xml:space="preserve">for M365 control implementation status.</w:t>
      </w:r>
    </w:p>
    <w:p>
      <w:pPr>
        <w:pStyle w:val="Compact"/>
        <w:numPr>
          <w:ilvl w:val="0"/>
          <w:numId w:val="1002"/>
        </w:numPr>
      </w:pPr>
      <w:r>
        <w:t xml:space="preserve">Drive</w:t>
      </w:r>
      <w:r>
        <w:t xml:space="preserve"> </w:t>
      </w:r>
      <w:r>
        <w:rPr>
          <w:b/>
          <w:bCs/>
        </w:rPr>
        <w:t xml:space="preserve">POA&amp;M items</w:t>
      </w:r>
      <w:r>
        <w:t xml:space="preserve"> </w:t>
      </w:r>
      <w:r>
        <w:t xml:space="preserve">when SCuBA returns a fail outside accepted</w:t>
      </w:r>
      <w:r>
        <w:t xml:space="preserve"> </w:t>
      </w:r>
      <w:r>
        <w:t xml:space="preserve">exceptions.</w:t>
      </w:r>
    </w:p>
    <w:p>
      <w:pPr>
        <w:pStyle w:val="Compact"/>
        <w:numPr>
          <w:ilvl w:val="0"/>
          <w:numId w:val="1002"/>
        </w:numPr>
      </w:pPr>
      <w:r>
        <w:t xml:space="preserve">Anchor</w:t>
      </w:r>
      <w:r>
        <w:t xml:space="preserve"> </w:t>
      </w:r>
      <w:r>
        <w:rPr>
          <w:b/>
          <w:bCs/>
        </w:rPr>
        <w:t xml:space="preserve">Component Definition</w:t>
      </w:r>
      <w:r>
        <w:t xml:space="preserve"> </w:t>
      </w:r>
      <w:r>
        <w:t xml:space="preserve">evidence for M365 components.</w:t>
      </w:r>
    </w:p>
    <w:p>
      <w:pPr>
        <w:pStyle w:val="FirstParagraph"/>
      </w:pPr>
      <w:r>
        <w:t xml:space="preserve">Crucially, the bundle is</w:t>
      </w:r>
      <w:r>
        <w:t xml:space="preserve"> </w:t>
      </w:r>
      <w:r>
        <w:rPr>
          <w:b/>
          <w:bCs/>
        </w:rPr>
        <w:t xml:space="preserve">deterministic per the program decision</w:t>
      </w:r>
      <w:r>
        <w:t xml:space="preserve">: the same</w:t>
      </w:r>
      <w:r>
        <w:t xml:space="preserve"> </w:t>
      </w:r>
      <w:r>
        <w:t xml:space="preserve">tenant state plus the same SCuBA policy version plus the same canon</w:t>
      </w:r>
      <w:r>
        <w:t xml:space="preserve"> </w:t>
      </w:r>
      <w:r>
        <w:t xml:space="preserve">version yields a byte-identical bundle. A 3PAO can re-run the assembly</w:t>
      </w:r>
      <w:r>
        <w:t xml:space="preserve"> </w:t>
      </w:r>
      <w:r>
        <w:t xml:space="preserve">months after the original audit and verify the bundle hash.</w:t>
      </w:r>
    </w:p>
    <w:bookmarkEnd w:id="15"/>
    <w:bookmarkStart w:id="17" w:name="the-gcc-moderate-boundary-case"/>
    <w:p>
      <w:pPr>
        <w:pStyle w:val="Heading3"/>
      </w:pPr>
      <w:r>
        <w:t xml:space="preserve">4. The GCC-Moderate boundary case</w:t>
      </w:r>
    </w:p>
    <w:p>
      <w:pPr>
        <w:pStyle w:val="FirstParagraph"/>
      </w:pPr>
      <w:r>
        <w:t xml:space="preserve">ScubaGear is interesting in GCC-Moderate because it sits</w:t>
      </w:r>
      <w:r>
        <w:t xml:space="preserve"> </w:t>
      </w:r>
      <w:r>
        <w:rPr>
          <w:b/>
          <w:bCs/>
        </w:rPr>
        <w:t xml:space="preserve">inside the</w:t>
      </w:r>
      <w:r>
        <w:rPr>
          <w:b/>
          <w:bCs/>
        </w:rPr>
        <w:t xml:space="preserve"> </w:t>
      </w:r>
      <w:r>
        <w:rPr>
          <w:b/>
          <w:bCs/>
        </w:rPr>
        <w:t xml:space="preserve">boundary</w:t>
      </w:r>
      <w:r>
        <w:t xml:space="preserve"> </w:t>
      </w:r>
      <w:r>
        <w:t xml:space="preserve">and reads tenant state via in-boundary APIs. Per the</w:t>
      </w:r>
      <w:r>
        <w:t xml:space="preserve"> </w:t>
      </w:r>
      <w:hyperlink r:id="rId16">
        <w:r>
          <w:rPr>
            <w:rStyle w:val="Hyperlink"/>
          </w:rPr>
          <w:t xml:space="preserve">Boundary Impact Model</w:t>
        </w:r>
      </w:hyperlink>
      <w:r>
        <w:t xml:space="preserve">,</w:t>
      </w:r>
      <w:r>
        <w:t xml:space="preserve"> </w:t>
      </w:r>
      <w:r>
        <w:t xml:space="preserve">this means: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Telemetry fidelity:</w:t>
      </w:r>
      <w:r>
        <w:t xml:space="preserve"> </w:t>
      </w:r>
      <w:r>
        <w:t xml:space="preserve">ScubaGear can read the configuration state</w:t>
      </w:r>
      <w:r>
        <w:t xml:space="preserve"> </w:t>
      </w:r>
      <w:r>
        <w:t xml:space="preserve">the boundary actually exposes — which is</w:t>
      </w:r>
      <w:r>
        <w:t xml:space="preserve"> </w:t>
      </w:r>
      <w:r>
        <w:rPr>
          <w:i/>
          <w:iCs/>
        </w:rPr>
        <w:t xml:space="preserve">most</w:t>
      </w:r>
      <w:r>
        <w:t xml:space="preserve"> </w:t>
      </w:r>
      <w:r>
        <w:t xml:space="preserve">of what its policies</w:t>
      </w:r>
      <w:r>
        <w:t xml:space="preserve"> </w:t>
      </w:r>
      <w:r>
        <w:t xml:space="preserve">evaluate, since the SCuBA baselines target configuration rather than</w:t>
      </w:r>
      <w:r>
        <w:t xml:space="preserve"> </w:t>
      </w:r>
      <w:r>
        <w:t xml:space="preserve">the cloud-only telemetry features that GCC-Moderate attenuates.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Identity authority:</w:t>
      </w:r>
      <w:r>
        <w:t xml:space="preserve"> </w:t>
      </w:r>
      <w:r>
        <w:t xml:space="preserve">issuer identity for SCuBA findings is the</w:t>
      </w:r>
      <w:r>
        <w:t xml:space="preserve"> </w:t>
      </w:r>
      <w:r>
        <w:t xml:space="preserve">tenant identity plane; resolution is in-boundary.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Enforcement responsibility:</w:t>
      </w:r>
      <w:r>
        <w:t xml:space="preserve"> </w:t>
      </w:r>
      <w:r>
        <w:t xml:space="preserve">ScubaGear is conformance, not</w:t>
      </w:r>
      <w:r>
        <w:t xml:space="preserve"> </w:t>
      </w:r>
      <w:r>
        <w:t xml:space="preserve">enforcement — it observes. Compensating enforcement adapters (where</w:t>
      </w:r>
      <w:r>
        <w:t xml:space="preserve"> </w:t>
      </w:r>
      <w:r>
        <w:t xml:space="preserve">needed) are separate registry entries.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Provenance classification:</w:t>
      </w:r>
      <w:r>
        <w:t xml:space="preserve"> </w:t>
      </w:r>
      <w:r>
        <w:t xml:space="preserve">SCuBA findings are</w:t>
      </w:r>
      <w:r>
        <w:t xml:space="preserve"> </w:t>
      </w:r>
      <w:r>
        <w:rPr>
          <w:rStyle w:val="VerbatimChar"/>
        </w:rPr>
        <w:t xml:space="preserve">authoritative</w:t>
      </w:r>
      <w:r>
        <w:t xml:space="preserve"> </w:t>
      </w:r>
      <w:r>
        <w:t xml:space="preserve">for</w:t>
      </w:r>
      <w:r>
        <w:t xml:space="preserve"> </w:t>
      </w:r>
      <w:r>
        <w:t xml:space="preserve">configuration state,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for any value computed from tenant</w:t>
      </w:r>
      <w:r>
        <w:t xml:space="preserve"> </w:t>
      </w:r>
      <w:r>
        <w:t xml:space="preserve">data.</w:t>
      </w:r>
    </w:p>
    <w:p>
      <w:pPr>
        <w:pStyle w:val="FirstParagraph"/>
      </w:pPr>
      <w:r>
        <w:t xml:space="preserve">This is one of the cases where GCC-Moderate’s structural constraints</w:t>
      </w:r>
      <w:r>
        <w:t xml:space="preserve"> </w:t>
      </w:r>
      <w:r>
        <w:t xml:space="preserve">work in the agency’s favor: the SCuBA baselines were authored against</w:t>
      </w:r>
      <w:r>
        <w:t xml:space="preserve"> </w:t>
      </w:r>
      <w:r>
        <w:t xml:space="preserve">features that GCC-Moderate does expose, so the adapter has high</w:t>
      </w:r>
      <w:r>
        <w:t xml:space="preserve"> </w:t>
      </w:r>
      <w:r>
        <w:t xml:space="preserve">coverage in-boundary. Where coverage gaps exist (e.g. for cloud-only</w:t>
      </w:r>
      <w:r>
        <w:t xml:space="preserve"> </w:t>
      </w:r>
      <w:r>
        <w:t xml:space="preserve">telemetry features that SCuBA does not currently evaluate), the gap is</w:t>
      </w:r>
      <w:r>
        <w:t xml:space="preserve"> </w:t>
      </w:r>
      <w:r>
        <w:t xml:space="preserve">named and treated as a separate boundary finding.</w:t>
      </w:r>
    </w:p>
    <w:bookmarkEnd w:id="17"/>
    <w:bookmarkStart w:id="22" w:name="scuba-in-the-federal-ssot-story"/>
    <w:p>
      <w:pPr>
        <w:pStyle w:val="Heading3"/>
      </w:pPr>
      <w:r>
        <w:t xml:space="preserve">5. SCuBA in the Federal SSOT story</w:t>
      </w:r>
    </w:p>
    <w:p>
      <w:pPr>
        <w:pStyle w:val="FirstParagraph"/>
      </w:pPr>
      <w:r>
        <w:t xml:space="preserve">ScubaGear is one input to a larger compliance posture. FMP’s canon</w:t>
      </w:r>
      <w:r>
        <w:t xml:space="preserve"> </w:t>
      </w:r>
      <w:r>
        <w:t xml:space="preserve">frames the identity layer as the SSOT root that federal</w:t>
      </w:r>
      <w:r>
        <w:t xml:space="preserve"> </w:t>
      </w:r>
      <w:r>
        <w:t xml:space="preserve">data-governance mandates sit on top of, and positions every adapter —</w:t>
      </w:r>
      <w:r>
        <w:t xml:space="preserve"> </w:t>
      </w:r>
      <w:r>
        <w:t xml:space="preserve">including ScubaGear — as a node in a continuously-verified evidence</w:t>
      </w:r>
      <w:r>
        <w:t xml:space="preserve"> </w:t>
      </w:r>
      <w:r>
        <w:t xml:space="preserve">chain rather than a freestanding tool.</w:t>
      </w:r>
      <w:r>
        <w:rPr>
          <w:rStyle w:val="FootnoteReference"/>
        </w:rPr>
        <w:footnoteReference w:id="18"/>
      </w:r>
      <w:r>
        <w:t xml:space="preserve"> </w:t>
      </w:r>
      <w:r>
        <w:t xml:space="preserve">This</w:t>
      </w:r>
      <w:r>
        <w:t xml:space="preserve"> </w:t>
      </w:r>
      <w:r>
        <w:t xml:space="preserve">section maps ScubaGear into that larger frame so an authorizing</w:t>
      </w:r>
      <w:r>
        <w:t xml:space="preserve"> </w:t>
      </w:r>
      <w:r>
        <w:t xml:space="preserve">official can see where the adapter fits in the Federal SSOT posture,</w:t>
      </w:r>
      <w:r>
        <w:t xml:space="preserve"> </w:t>
      </w:r>
      <w:r>
        <w:t xml:space="preserve">not just in M365 configuration assessment, then walks one illustrative</w:t>
      </w:r>
      <w:r>
        <w:t xml:space="preserve"> </w:t>
      </w:r>
      <w:r>
        <w:t xml:space="preserve">finding through the full pipeline so the</w:t>
      </w:r>
      <w:r>
        <w:t xml:space="preserve"> </w:t>
      </w:r>
      <w:r>
        <w:t xml:space="preserve">“canonical claim”</w:t>
      </w:r>
      <w:r>
        <w:t xml:space="preserve"> </w:t>
      </w:r>
      <w:r>
        <w:t xml:space="preserve">abstraction</w:t>
      </w:r>
      <w:r>
        <w:t xml:space="preserve"> </w:t>
      </w:r>
      <w:r>
        <w:t xml:space="preserve">is legible rather than asserted.</w:t>
      </w:r>
    </w:p>
    <w:p>
      <w:pPr>
        <w:pStyle w:val="BodyText"/>
      </w:pPr>
      <w:r>
        <w:rPr>
          <w:b/>
          <w:bCs/>
        </w:rPr>
        <w:t xml:space="preserve">What ScubaGear sees, and what it does not.</w:t>
      </w:r>
      <w:r>
        <w:t xml:space="preserve"> </w:t>
      </w:r>
      <w:r>
        <w:t xml:space="preserve">ScubaGear evaluates</w:t>
      </w:r>
      <w:r>
        <w:t xml:space="preserve"> </w:t>
      </w:r>
      <w:r>
        <w:t xml:space="preserve">configuration state in the M365 tenant — the cloud half of the</w:t>
      </w:r>
      <w:r>
        <w:t xml:space="preserve"> </w:t>
      </w:r>
      <w:r>
        <w:t xml:space="preserve">identity-and-data picture. The substrate’s</w:t>
      </w:r>
      <w:r>
        <w:t xml:space="preserve"> </w:t>
      </w:r>
      <w:r>
        <w:rPr>
          <w:i/>
          <w:iCs/>
        </w:rPr>
        <w:t xml:space="preserve">on-premises half</w:t>
      </w:r>
      <w:r>
        <w:t xml:space="preserve"> </w:t>
      </w:r>
      <w:r>
        <w:t xml:space="preserve">is the</w:t>
      </w:r>
      <w:r>
        <w:t xml:space="preserve"> </w:t>
      </w:r>
      <w:r>
        <w:t xml:space="preserve">AD survey adapter at</w:t>
      </w:r>
      <w:r>
        <w:t xml:space="preserve"> </w:t>
      </w:r>
      <w:r>
        <w:rPr>
          <w:rStyle w:val="VerbatimChar"/>
        </w:rPr>
        <w:t xml:space="preserve">src/fmp/adapters/modernization/active_directory/survey.py</w:t>
      </w:r>
      <w:r>
        <w:t xml:space="preserve">,</w:t>
      </w:r>
      <w:r>
        <w:t xml:space="preserve"> </w:t>
      </w:r>
      <w:r>
        <w:t xml:space="preserve">which produces the readiness bundle including the phase-tagged</w:t>
      </w:r>
      <w:r>
        <w:t xml:space="preserve"> </w:t>
      </w:r>
      <w:r>
        <w:rPr>
          <w:rStyle w:val="VerbatimChar"/>
        </w:rPr>
        <w:t xml:space="preserve">spn_inventory</w:t>
      </w:r>
      <w:r>
        <w:t xml:space="preserve"> </w:t>
      </w:r>
      <w:r>
        <w:t xml:space="preserve">artifact. The two halves see different surfaces</w:t>
      </w:r>
      <w:r>
        <w:t xml:space="preserve"> </w:t>
      </w:r>
      <w:r>
        <w:t xml:space="preserve">and emit into the same Evidence Bundle — together they describe the</w:t>
      </w:r>
      <w:r>
        <w:t xml:space="preserve"> </w:t>
      </w:r>
      <w:r>
        <w:t xml:space="preserve">identity posture an agency carries through the AD → Entra ID transition,</w:t>
      </w:r>
      <w:r>
        <w:t xml:space="preserve"> </w:t>
      </w:r>
      <w:r>
        <w:t xml:space="preserve">not just the cloud baseline at a moment in time.</w:t>
      </w:r>
    </w:p>
    <w:p>
      <w:pPr>
        <w:pStyle w:val="BodyText"/>
      </w:pPr>
      <w:r>
        <w:rPr>
          <w:b/>
          <w:bCs/>
        </w:rPr>
        <w:t xml:space="preserve">Federal mandate alignment.</w:t>
      </w:r>
      <w:r>
        <w:t xml:space="preserve"> </w:t>
      </w: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Federal SSOT Alignment whitepaper</w:t>
        </w:r>
      </w:hyperlink>
      <w:r>
        <w:t xml:space="preserve"> </w:t>
      </w:r>
      <w:r>
        <w:t xml:space="preserve">catalogues the federal mandates that the substrate as a whole supports</w:t>
      </w:r>
      <w:r>
        <w:t xml:space="preserve"> </w:t>
      </w:r>
      <w:r>
        <w:t xml:space="preserve">(Evidence Act, Federal Data Strategy, OMB M-22-09, FedRAMP 20x, NIST</w:t>
      </w:r>
      <w:r>
        <w:t xml:space="preserve"> </w:t>
      </w:r>
      <w:r>
        <w:t xml:space="preserve">800-63 AAL, DAMA-DMBOK, CDO Data Governance Board). ScubaGear’s role in</w:t>
      </w:r>
      <w:r>
        <w:t xml:space="preserve"> </w:t>
      </w:r>
      <w:r>
        <w:t xml:space="preserve">that catalogue is specific and bounded: it is the canonical</w:t>
      </w:r>
      <w:r>
        <w:t xml:space="preserve"> </w:t>
      </w:r>
      <w:r>
        <w:rPr>
          <w:b/>
          <w:bCs/>
        </w:rPr>
        <w:t xml:space="preserve">configuration-conformance evidence source</w:t>
      </w:r>
      <w:r>
        <w:t xml:space="preserve"> </w:t>
      </w:r>
      <w:r>
        <w:t xml:space="preserve">for the M365 components</w:t>
      </w:r>
      <w:r>
        <w:t xml:space="preserve"> </w:t>
      </w:r>
      <w:r>
        <w:t xml:space="preserve">inside the GCC-Moderate boundary. CISA</w:t>
      </w:r>
      <w:r>
        <w:t xml:space="preserve"> </w:t>
      </w:r>
      <w:hyperlink r:id="rId20">
        <w:r>
          <w:rPr>
            <w:rStyle w:val="Hyperlink"/>
          </w:rPr>
          <w:t xml:space="preserve">BOD 25-01</w:t>
        </w:r>
      </w:hyperlink>
      <w:r>
        <w:t xml:space="preserve">’s</w:t>
      </w:r>
      <w:r>
        <w:t xml:space="preserve"> </w:t>
      </w:r>
      <w:r>
        <w:t xml:space="preserve">“core logging”</w:t>
      </w:r>
      <w:r>
        <w:t xml:space="preserve"> </w:t>
      </w:r>
      <w:r>
        <w:t xml:space="preserve">intent</w:t>
      </w:r>
      <w:r>
        <w:t xml:space="preserve"> </w:t>
      </w:r>
      <w:r>
        <w:t xml:space="preserve">is satisfied directly by SCuBA configuration findings; CISA BOD 25-01’s</w:t>
      </w:r>
      <w:r>
        <w:t xml:space="preserve"> </w:t>
      </w:r>
      <w:r>
        <w:t xml:space="preserve">“rapid detection and investigation”</w:t>
      </w:r>
      <w:r>
        <w:t xml:space="preserve"> </w:t>
      </w:r>
      <w:r>
        <w:t xml:space="preserve">intent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satisfied by</w:t>
      </w:r>
      <w:r>
        <w:t xml:space="preserve"> </w:t>
      </w:r>
      <w:r>
        <w:t xml:space="preserve">ScubaGear alone — that requires the substrate’s drift engine running</w:t>
      </w:r>
      <w:r>
        <w:t xml:space="preserve"> </w:t>
      </w:r>
      <w:r>
        <w:t xml:space="preserve">across SCuBA evidence plus the AD-side spn_inventory and the Purview</w:t>
      </w:r>
      <w:r>
        <w:t xml:space="preserve"> </w:t>
      </w:r>
      <w:r>
        <w:t xml:space="preserve">data-map state. ScubaGear’s</w:t>
      </w:r>
      <w:r>
        <w:t xml:space="preserve"> </w:t>
      </w:r>
      <w:r>
        <w:rPr>
          <w:rStyle w:val="VerbatimChar"/>
        </w:rPr>
        <w:t xml:space="preserve">evidence-class: interval</w:t>
      </w:r>
      <w:r>
        <w:t xml:space="preserve"> </w:t>
      </w:r>
      <w:r>
        <w:t xml:space="preserve">and its</w:t>
      </w:r>
      <w:r>
        <w:t xml:space="preserve"> </w:t>
      </w:r>
      <w:r>
        <w:t xml:space="preserve">deterministic OSCAL emission are what make this drift comparison</w:t>
      </w:r>
      <w:r>
        <w:t xml:space="preserve"> </w:t>
      </w:r>
      <w:r>
        <w:t xml:space="preserve">mechanically possible.</w:t>
      </w:r>
    </w:p>
    <w:p>
      <w:pPr>
        <w:pStyle w:val="BodyText"/>
      </w:pPr>
      <w:r>
        <w:rPr>
          <w:b/>
          <w:bCs/>
        </w:rPr>
        <w:t xml:space="preserve">The GCC-Moderate three-way compliance conflict.</w:t>
      </w:r>
      <w:r>
        <w:t xml:space="preserve"> </w:t>
      </w:r>
      <w:r>
        <w:t xml:space="preserve">As §4 above notes,</w:t>
      </w:r>
      <w:r>
        <w:t xml:space="preserve"> </w:t>
      </w:r>
      <w:r>
        <w:t xml:space="preserve">ScubaGear operates inside the GCC-Moderate boundary and its policies</w:t>
      </w:r>
      <w:r>
        <w:t xml:space="preserve"> </w:t>
      </w:r>
      <w:r>
        <w:t xml:space="preserve">were authored against features the boundary actually exposes. The</w:t>
      </w:r>
      <w:r>
        <w:t xml:space="preserve"> </w:t>
      </w:r>
      <w:r>
        <w:t xml:space="preserve">boundary itself, however, produces a structural compliance conflict</w:t>
      </w:r>
      <w:r>
        <w:t xml:space="preserve"> </w:t>
      </w:r>
      <w:r>
        <w:t xml:space="preserve">catalogued as a first-class finding in</w:t>
      </w:r>
      <w:r>
        <w:t xml:space="preserve"> </w:t>
      </w:r>
      <w:r>
        <w:t xml:space="preserve">B.1.1 The Three-Way GCC-Moderate Compliance Conflict</w:t>
      </w:r>
      <w:r>
        <w:t xml:space="preserve"> </w:t>
      </w:r>
      <w:r>
        <w:t xml:space="preserve">(TIC 3.0 × Zero Trust × FedRAMP 20x). ScubaGear does not surface this</w:t>
      </w:r>
      <w:r>
        <w:t xml:space="preserve"> </w:t>
      </w:r>
      <w:r>
        <w:t xml:space="preserve">conflict directly — it is structural, not a per-policy finding — but</w:t>
      </w:r>
      <w:r>
        <w:t xml:space="preserve"> </w:t>
      </w:r>
      <w:r>
        <w:t xml:space="preserve">ScubaGear’s evidence is one of the artifacts the agency uses to</w:t>
      </w:r>
      <w:r>
        <w:t xml:space="preserve"> </w:t>
      </w:r>
      <w:r>
        <w:t xml:space="preserve">document compensating controls (B.1.1 §4 defers the catalogue itself to</w:t>
      </w:r>
      <w:r>
        <w:t xml:space="preserve"> </w:t>
      </w:r>
      <w:r>
        <w:t xml:space="preserve">B.1 §5). The B.1.1 finding (</w:t>
      </w:r>
      <w:r>
        <w:rPr>
          <w:rStyle w:val="VerbatimChar"/>
        </w:rPr>
        <w:t xml:space="preserve">GCC-BOUNDARY-3WAY-001</w:t>
      </w:r>
      <w:r>
        <w:t xml:space="preserve">) defines a generic</w:t>
      </w:r>
      <w:r>
        <w:t xml:space="preserve"> </w:t>
      </w:r>
      <w:r>
        <w:rPr>
          <w:rStyle w:val="VerbatimChar"/>
        </w:rPr>
        <w:t xml:space="preserve">compensating_controls</w:t>
      </w:r>
      <w:r>
        <w:t xml:space="preserve"> </w:t>
      </w:r>
      <w:r>
        <w:t xml:space="preserve">array for agency-side controls; ScubaGear’s</w:t>
      </w:r>
      <w:r>
        <w:t xml:space="preserve"> </w:t>
      </w:r>
      <w:r>
        <w:t xml:space="preserve">conformance evidence is the natural artifact an agency attaches there</w:t>
      </w:r>
      <w:r>
        <w:t xml:space="preserve"> </w:t>
      </w:r>
      <w:r>
        <w:t xml:space="preserve">to demonstrate the boundary’s risk is being continuously verified. The</w:t>
      </w:r>
      <w:r>
        <w:t xml:space="preserve"> </w:t>
      </w:r>
      <w:r>
        <w:t xml:space="preserve">operating model that turns SCuBA baseline drift into typed remediation</w:t>
      </w:r>
      <w:r>
        <w:t xml:space="preserve"> </w:t>
      </w:r>
      <w:r>
        <w:t xml:space="preserve">tasks with closure evidence is developed in</w:t>
      </w:r>
      <w:r>
        <w:t xml:space="preserve"> </w:t>
      </w:r>
      <w:r>
        <w:t xml:space="preserve">Vol VII Book 02 — M365 Control &amp; Compliance Automation</w:t>
      </w:r>
      <w:r>
        <w:t xml:space="preserve"> </w:t>
      </w:r>
      <w:r>
        <w:t xml:space="preserve">of the Federal Compliance series.</w:t>
      </w:r>
    </w:p>
    <w:p>
      <w:pPr>
        <w:pStyle w:val="BodyText"/>
      </w:pPr>
      <w:r>
        <w:rPr>
          <w:b/>
          <w:bCs/>
        </w:rPr>
        <w:t xml:space="preserve">Drift taxonomy cross-walk.</w:t>
      </w:r>
      <w:r>
        <w:t xml:space="preserve"> </w:t>
      </w:r>
      <w:r>
        <w:t xml:space="preserve">ScubaGear findings map onto the</w:t>
      </w:r>
      <w:r>
        <w:t xml:space="preserve"> </w:t>
      </w:r>
      <w:r>
        <w:t xml:space="preserve">substrate’s drift classes per the standard formalized in</w:t>
      </w:r>
      <w:r>
        <w:t xml:space="preserve"> </w:t>
      </w:r>
      <w:r>
        <w:rPr>
          <w:rStyle w:val="VerbatimChar"/>
        </w:rPr>
        <w:t xml:space="preserve">docs/docs/16_DriftDetectionStandard.qmd</w:t>
      </w:r>
      <w:r>
        <w:t xml:space="preserve"> </w:t>
      </w:r>
      <w:r>
        <w:t xml:space="preserve">§2: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SCuBA finding pattern</w:t>
            </w:r>
          </w:p>
        </w:tc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Severity model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configuration drifts from a SCuBA baseline that previously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DRIFT-SEMANTIC</w:t>
            </w:r>
            <w:r>
              <w:t xml:space="preserve"> </w:t>
            </w:r>
            <w:r>
              <w:t xml:space="preserve">(depending on whether the schema or the value drifted)</w:t>
            </w:r>
          </w:p>
        </w:tc>
        <w:tc>
          <w:tcPr/>
          <w:p>
            <w:pPr>
              <w:pStyle w:val="Compact"/>
            </w:pPr>
            <w:r>
              <w:t xml:space="preserve">§3 P3 by default; escalates to P2 if the drift affects a live KSI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SCuBA evidence claim emitted without a complete provenance envelope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§3 P1 — claim integrity is load-bearing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Conditional Access policy state contradicts the AAL recorded in the COR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§3 P1 — authorization integrity is load-bearing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AAD principal in a SCuBA finding cannot be resolved in the identity plane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§3 P1 — identity attribution is load-bearing</w:t>
            </w:r>
          </w:p>
        </w:tc>
      </w:tr>
    </w:tbl>
    <w:p>
      <w:pPr>
        <w:pStyle w:val="BodyText"/>
      </w:pPr>
      <w:r>
        <w:t xml:space="preserve">§7 of the drift standard maps these classes to the federal mandates</w:t>
      </w:r>
      <w:r>
        <w:t xml:space="preserve"> </w:t>
      </w:r>
      <w:r>
        <w:t xml:space="preserve">each supports; §7.1 catalogues the four SPN-specific drift conditions</w:t>
      </w:r>
      <w:r>
        <w:t xml:space="preserve"> </w:t>
      </w:r>
      <w:r>
        <w:t xml:space="preserve">that surface when the AD-side</w:t>
      </w:r>
      <w:r>
        <w:t xml:space="preserve"> </w:t>
      </w:r>
      <w:r>
        <w:rPr>
          <w:rStyle w:val="VerbatimChar"/>
        </w:rPr>
        <w:t xml:space="preserve">spn_inventory</w:t>
      </w:r>
      <w:r>
        <w:t xml:space="preserve"> </w:t>
      </w:r>
      <w:r>
        <w:t xml:space="preserve">is compared across</w:t>
      </w:r>
      <w:r>
        <w:t xml:space="preserve"> </w:t>
      </w:r>
      <w:r>
        <w:t xml:space="preserve">migration phases. ScubaGear evidence joins the</w:t>
      </w:r>
      <w:r>
        <w:t xml:space="preserve"> </w:t>
      </w:r>
      <w:r>
        <w:t xml:space="preserve">spn_inventory evidence in the same Evidence Bundle the 3PAO consumes —</w:t>
      </w:r>
      <w:r>
        <w:t xml:space="preserve"> </w:t>
      </w:r>
      <w:r>
        <w:t xml:space="preserve">neither alone is sufficient for the federal SSOT posture; together</w:t>
      </w:r>
      <w:r>
        <w:t xml:space="preserve"> </w:t>
      </w:r>
      <w:r>
        <w:t xml:space="preserve">they are continuous.</w:t>
      </w:r>
    </w:p>
    <w:p>
      <w:pPr>
        <w:pStyle w:val="BodyText"/>
      </w:pPr>
      <w:r>
        <w:rPr>
          <w:b/>
          <w:bCs/>
        </w:rPr>
        <w:t xml:space="preserve">A worked trace: one finding, four hops.</w:t>
      </w:r>
      <w:r>
        <w:t xml:space="preserve"> </w:t>
      </w:r>
      <w:r>
        <w:t xml:space="preserve">The abstraction above —</w:t>
      </w:r>
      <w:r>
        <w:t xml:space="preserve"> </w:t>
      </w:r>
      <w:r>
        <w:t xml:space="preserve">“every SCuBA policy result is a canonical claim”</w:t>
      </w:r>
      <w:r>
        <w:t xml:space="preserve"> </w:t>
      </w:r>
      <w:r>
        <w:t xml:space="preserve">— is easier to trust</w:t>
      </w:r>
      <w:r>
        <w:t xml:space="preserve"> </w:t>
      </w:r>
      <w:r>
        <w:t xml:space="preserve">with a concrete walk-through than with another cross-reference. What</w:t>
      </w:r>
      <w:r>
        <w:t xml:space="preserve"> </w:t>
      </w:r>
      <w:r>
        <w:t xml:space="preserve">follows is an</w:t>
      </w:r>
      <w:r>
        <w:t xml:space="preserve"> </w:t>
      </w:r>
      <w:r>
        <w:rPr>
          <w:b/>
          <w:bCs/>
        </w:rPr>
        <w:t xml:space="preserve">illustrative, worked example</w:t>
      </w:r>
      <w:r>
        <w:t xml:space="preserve">, not a specific</w:t>
      </w:r>
      <w:r>
        <w:t xml:space="preserve"> </w:t>
      </w:r>
      <w:r>
        <w:t xml:space="preserve">historical finding: a representative SCuBA/M365 baseline check, traced</w:t>
      </w:r>
      <w:r>
        <w:t xml:space="preserve"> </w:t>
      </w:r>
      <w:r>
        <w:t xml:space="preserve">through the four-stage pipeline named in §3</w:t>
      </w:r>
      <w:r>
        <w:t xml:space="preserve"> </w:t>
      </w:r>
      <w:r>
        <w:t xml:space="preserve">(</w:t>
      </w:r>
      <w:r>
        <w:rPr>
          <w:rStyle w:val="VerbatimChar"/>
        </w:rPr>
        <w:t xml:space="preserve">ScubaGear run → claim normalization → bundle assembly+seal → OSCAL artifact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Rego policy result.</w:t>
      </w:r>
      <w:r>
        <w:t xml:space="preserve"> </w:t>
      </w:r>
      <w:r>
        <w:t xml:space="preserve">A ScubaGear run evaluates baseline policy</w:t>
      </w:r>
      <w:r>
        <w:t xml:space="preserve"> </w:t>
      </w:r>
      <w:r>
        <w:rPr>
          <w:rStyle w:val="VerbatimChar"/>
        </w:rPr>
        <w:t xml:space="preserve">MS.AAD.1.1v1</w:t>
      </w:r>
      <w:r>
        <w:t xml:space="preserve"> </w:t>
      </w:r>
      <w:r>
        <w:t xml:space="preserve">—</w:t>
      </w:r>
      <w:r>
        <w:t xml:space="preserve"> </w:t>
      </w:r>
      <w:r>
        <w:t xml:space="preserve">“Legacy authentication SHALL be blocked”</w:t>
      </w:r>
      <w:r>
        <w:t xml:space="preserve"> </w:t>
      </w:r>
      <w:r>
        <w:t xml:space="preserve">(mapped to</w:t>
      </w:r>
      <w:r>
        <w:t xml:space="preserve"> </w:t>
      </w:r>
      <w:r>
        <w:t xml:space="preserve">NIST control</w:t>
      </w:r>
      <w:r>
        <w:t xml:space="preserve"> </w:t>
      </w:r>
      <w:r>
        <w:rPr>
          <w:rStyle w:val="VerbatimChar"/>
        </w:rPr>
        <w:t xml:space="preserve">IA-2(1)</w:t>
      </w:r>
      <w:r>
        <w:t xml:space="preserve"> </w:t>
      </w:r>
      <w:r>
        <w:t xml:space="preserve">per the canonical 143-policy table in</w:t>
      </w:r>
      <w:r>
        <w:t xml:space="preserve"> </w:t>
      </w:r>
      <w:r>
        <w:rPr>
          <w:rStyle w:val="VerbatimChar"/>
        </w:rPr>
        <w:t xml:space="preserve">FMP_002</w:t>
      </w:r>
      <w:r>
        <w:t xml:space="preserve">).</w:t>
      </w:r>
      <w:r>
        <w:t xml:space="preserve"> </w:t>
      </w:r>
      <w:r>
        <w:t xml:space="preserve">Say the OPA/Rego evaluator returns</w:t>
      </w:r>
      <w:r>
        <w:t xml:space="preserve"> </w:t>
      </w:r>
      <w:r>
        <w:rPr>
          <w:rStyle w:val="VerbatimChar"/>
        </w:rPr>
        <w:t xml:space="preserve">Result: fail</w:t>
      </w:r>
      <w:r>
        <w:t xml:space="preserve"> </w:t>
      </w:r>
      <w:r>
        <w:t xml:space="preserve">because a mail</w:t>
      </w:r>
      <w:r>
        <w:t xml:space="preserve"> </w:t>
      </w:r>
      <w:r>
        <w:t xml:space="preserve">protocol in the tenant still permits basic authentication.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Canonical claim.</w:t>
      </w:r>
      <w:r>
        <w:t xml:space="preserve"> </w:t>
      </w:r>
      <w:r>
        <w:t xml:space="preserve">The adapter wraps that raw result in the</w:t>
      </w:r>
      <w:r>
        <w:t xml:space="preserve"> </w:t>
      </w:r>
      <w:r>
        <w:t xml:space="preserve">provenance envelope described in §2: a</w:t>
      </w:r>
      <w:r>
        <w:t xml:space="preserve"> </w:t>
      </w:r>
      <w:r>
        <w:rPr>
          <w:rStyle w:val="VerbatimChar"/>
        </w:rPr>
        <w:t xml:space="preserve">claim_id</w:t>
      </w:r>
      <w:r>
        <w:t xml:space="preserve"> </w:t>
      </w:r>
      <w:r>
        <w:t xml:space="preserve">of the form</w:t>
      </w:r>
      <w:r>
        <w:t xml:space="preserve"> </w:t>
      </w:r>
      <w:r>
        <w:rPr>
          <w:rStyle w:val="VerbatimChar"/>
        </w:rPr>
        <w:t xml:space="preserve">urn:fmp:claim:m365:scuba-policy:{uuid}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issuer_identity</w:t>
      </w:r>
      <w:r>
        <w:t xml:space="preserve"> </w:t>
      </w:r>
      <w:r>
        <w:t xml:space="preserve">resolved to the tenant’s Entra ID identity plane,</w:t>
      </w:r>
      <w:r>
        <w:t xml:space="preserve"> </w:t>
      </w:r>
      <w:r>
        <w:rPr>
          <w:rStyle w:val="VerbatimChar"/>
        </w:rPr>
        <w:t xml:space="preserve">source_classification: authoritative</w:t>
      </w:r>
      <w:r>
        <w:t xml:space="preserve"> </w:t>
      </w:r>
      <w:r>
        <w:t xml:space="preserve">(per §4, SCuBA findings are authoritative for configuration state),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extraction_timestamp</w:t>
      </w:r>
      <w:r>
        <w:t xml:space="preserve"> </w:t>
      </w:r>
      <w:r>
        <w:t xml:space="preserve">for the run, and a</w:t>
      </w:r>
      <w:r>
        <w:t xml:space="preserve"> </w:t>
      </w:r>
      <w:r>
        <w:rPr>
          <w:rStyle w:val="VerbatimChar"/>
        </w:rPr>
        <w:t xml:space="preserve">lineage_hash</w:t>
      </w:r>
      <w:r>
        <w:t xml:space="preserve"> </w:t>
      </w:r>
      <w:r>
        <w:t xml:space="preserve">— a</w:t>
      </w:r>
      <w:r>
        <w:t xml:space="preserve"> </w:t>
      </w:r>
      <w:r>
        <w:t xml:space="preserve">SHA-256 over the raw</w:t>
      </w:r>
      <w:r>
        <w:t xml:space="preserve"> </w:t>
      </w:r>
      <w:r>
        <w:rPr>
          <w:rStyle w:val="VerbatimChar"/>
        </w:rPr>
        <w:t xml:space="preserve">MS.AAD.1.1v1</w:t>
      </w:r>
      <w:r>
        <w:t xml:space="preserve"> </w:t>
      </w:r>
      <w:r>
        <w:t xml:space="preserve">result — so the claim is</w:t>
      </w:r>
      <w:r>
        <w:t xml:space="preserve"> </w:t>
      </w:r>
      <w:r>
        <w:t xml:space="preserve">traceable back to the exact ScubaGear output it came from.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Evidence bundle.</w:t>
      </w:r>
      <w:r>
        <w:t xml:space="preserve"> </w:t>
      </w:r>
      <w:r>
        <w:t xml:space="preserve">The claim lands in</w:t>
      </w:r>
      <w:r>
        <w:t xml:space="preserve"> </w:t>
      </w:r>
      <w:r>
        <w:rPr>
          <w:rStyle w:val="VerbatimChar"/>
        </w:rPr>
        <w:t xml:space="preserve">findings.json</w:t>
      </w:r>
      <w:r>
        <w:t xml:space="preserve"> </w:t>
      </w:r>
      <w:r>
        <w:t xml:space="preserve">for that</w:t>
      </w:r>
      <w:r>
        <w:t xml:space="preserve"> </w:t>
      </w:r>
      <w:r>
        <w:t xml:space="preserve">run’s interval, joins the KSI dashboard entry that</w:t>
      </w:r>
      <w:r>
        <w:t xml:space="preserve"> </w:t>
      </w:r>
      <w:r>
        <w:rPr>
          <w:rStyle w:val="VerbatimChar"/>
        </w:rPr>
        <w:t xml:space="preserve">IA-2(1)</w:t>
      </w:r>
      <w:r>
        <w:t xml:space="preserve"> </w:t>
      </w:r>
      <w:r>
        <w:t xml:space="preserve">maps to</w:t>
      </w:r>
      <w:r>
        <w:t xml:space="preserve"> </w:t>
      </w:r>
      <w:r>
        <w:t xml:space="preserve">via the KSI mapping table, and — because it is a fail outside any</w:t>
      </w:r>
      <w:r>
        <w:t xml:space="preserve"> </w:t>
      </w:r>
      <w:r>
        <w:t xml:space="preserve">accepted exception — drives a POA&amp;M item (per §3’s bullet list</w:t>
      </w:r>
      <w:r>
        <w:t xml:space="preserve"> </w:t>
      </w:r>
      <w:r>
        <w:t xml:space="preserve">above). Bundle assembly seals it alongside every other claim from</w:t>
      </w:r>
      <w:r>
        <w:t xml:space="preserve"> </w:t>
      </w:r>
      <w:r>
        <w:t xml:space="preserve">the same run, deterministically per the program decision.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OSCAL artifact.</w:t>
      </w:r>
      <w:r>
        <w:t xml:space="preserve"> </w:t>
      </w:r>
      <w:r>
        <w:t xml:space="preserve">The sealed bundle emits an OSCAL</w:t>
      </w:r>
      <w:r>
        <w:t xml:space="preserve"> </w:t>
      </w:r>
      <w:r>
        <w:t xml:space="preserve">assessment-results observation against the</w:t>
      </w:r>
      <w:r>
        <w:t xml:space="preserve"> </w:t>
      </w:r>
      <w:r>
        <w:rPr>
          <w:rStyle w:val="VerbatimChar"/>
        </w:rPr>
        <w:t xml:space="preserve">IA-2(1)</w:t>
      </w:r>
      <w:r>
        <w:t xml:space="preserve"> </w:t>
      </w:r>
      <w:r>
        <w:t xml:space="preserve">control</w:t>
      </w:r>
      <w:r>
        <w:t xml:space="preserve"> </w:t>
      </w:r>
      <w:r>
        <w:t xml:space="preserve">statement, cross-referenced to the open POA&amp;M item. A 3PAO reviewing</w:t>
      </w:r>
      <w:r>
        <w:t xml:space="preserve"> </w:t>
      </w:r>
      <w:r>
        <w:t xml:space="preserve">the SSP months later can re-run the assembly for that interval and</w:t>
      </w:r>
      <w:r>
        <w:t xml:space="preserve"> </w:t>
      </w:r>
      <w:r>
        <w:t xml:space="preserve">verify the same bundle hash, with the</w:t>
      </w:r>
      <w:r>
        <w:t xml:space="preserve"> </w:t>
      </w:r>
      <w:r>
        <w:rPr>
          <w:rStyle w:val="VerbatimChar"/>
        </w:rPr>
        <w:t xml:space="preserve">lineage_hash</w:t>
      </w:r>
      <w:r>
        <w:t xml:space="preserve"> </w:t>
      </w:r>
      <w:r>
        <w:t xml:space="preserve">letting them</w:t>
      </w:r>
      <w:r>
        <w:t xml:space="preserve"> </w:t>
      </w:r>
      <w:r>
        <w:t xml:space="preserve">walk back from the OSCAL observation to the original Rego result</w:t>
      </w:r>
      <w:r>
        <w:t xml:space="preserve"> </w:t>
      </w:r>
      <w:r>
        <w:t xml:space="preserve">without re-running ScubaGear.</w:t>
      </w:r>
    </w:p>
    <w:p>
      <w:pPr>
        <w:pStyle w:val="FirstParagraph"/>
      </w:pPr>
      <w:r>
        <w:t xml:space="preserve">That is the full round trip for one finding. Every SCuBA policy result</w:t>
      </w:r>
      <w:r>
        <w:t xml:space="preserve"> </w:t>
      </w:r>
      <w:r>
        <w:t xml:space="preserve">in a real run — pass, fail, manual, or not-applicable — takes the same</w:t>
      </w:r>
      <w:r>
        <w:t xml:space="preserve"> </w:t>
      </w:r>
      <w:r>
        <w:t xml:space="preserve">four hops;</w:t>
      </w:r>
      <w:r>
        <w:t xml:space="preserve"> </w:t>
      </w:r>
      <w:r>
        <w:rPr>
          <w:rStyle w:val="VerbatimChar"/>
        </w:rPr>
        <w:t xml:space="preserve">MS.AAD.1.1v1</w:t>
      </w:r>
      <w:r>
        <w:t xml:space="preserve"> </w:t>
      </w:r>
      <w:r>
        <w:t xml:space="preserve">is simply a concrete stand-in for the class.</w:t>
      </w:r>
    </w:p>
    <w:p>
      <w:pPr>
        <w:pStyle w:val="BodyText"/>
      </w:pPr>
      <w:r>
        <w:rPr>
          <w:b/>
          <w:bCs/>
        </w:rPr>
        <w:t xml:space="preserve">Reference deployment.</w:t>
      </w:r>
      <w:r>
        <w:t xml:space="preserve"> </w:t>
      </w:r>
      <w:r>
        <w:t xml:space="preserve">For a synthetic end-to-end engagement that</w:t>
      </w:r>
      <w:r>
        <w:t xml:space="preserve"> </w:t>
      </w:r>
      <w:r>
        <w:t xml:space="preserve">exercises the AD survey adapter, the spn_inventory artifact, the</w:t>
      </w:r>
      <w:r>
        <w:t xml:space="preserve"> </w:t>
      </w:r>
      <w:r>
        <w:t xml:space="preserve">readiness bundle, the B.1.1 three-way conflict finding, the SQL</w:t>
      </w:r>
      <w:r>
        <w:t xml:space="preserve"> </w:t>
      </w:r>
      <w:r>
        <w:t xml:space="preserve">Server adapter, and the Azure SSOT bridge — the deployment pattern</w:t>
      </w:r>
      <w:r>
        <w:t xml:space="preserve"> </w:t>
      </w:r>
      <w:r>
        <w:t xml:space="preserve">whose Evidence Bundle ScubaGear’s conformance output slots into as the</w:t>
      </w:r>
      <w:r>
        <w:t xml:space="preserve"> </w:t>
      </w:r>
      <w:r>
        <w:t xml:space="preserve">M365 layer — see</w:t>
      </w:r>
      <w:r>
        <w:t xml:space="preserve"> </w:t>
      </w:r>
      <w:hyperlink r:id="rId21">
        <w:r>
          <w:rPr>
            <w:rStyle w:val="Hyperlink"/>
          </w:rPr>
          <w:t xml:space="preserve">Federal Civilian AD → Entra ID + SQL Estate — Reference Deployment Pattern</w:t>
        </w:r>
      </w:hyperlink>
      <w:r>
        <w:t xml:space="preserve">.</w:t>
      </w:r>
      <w:r>
        <w:t xml:space="preserve"> </w:t>
      </w:r>
      <w:r>
        <w:t xml:space="preserve">(The case study itself does not run ScubaGear; it walks the bundle</w:t>
      </w:r>
      <w:r>
        <w:t xml:space="preserve"> </w:t>
      </w:r>
      <w:r>
        <w:t xml:space="preserve">ScubaGear’s output joins.)</w:t>
      </w:r>
    </w:p>
    <w:bookmarkEnd w:id="22"/>
    <w:bookmarkStart w:id="23" w:name="why-interval-matters"/>
    <w:p>
      <w:pPr>
        <w:pStyle w:val="Heading3"/>
      </w:pPr>
      <w:r>
        <w:t xml:space="preserve">6. Why</w:t>
      </w:r>
      <w:r>
        <w:t xml:space="preserve"> </w:t>
      </w:r>
      <w:r>
        <w:t xml:space="preserve">“interval”</w:t>
      </w:r>
      <w:r>
        <w:t xml:space="preserve"> </w:t>
      </w:r>
      <w:r>
        <w:t xml:space="preserve">matters</w:t>
      </w:r>
    </w:p>
    <w:p>
      <w:pPr>
        <w:pStyle w:val="FirstParagraph"/>
      </w:pPr>
      <w:r>
        <w:t xml:space="preserve">An adapter declared</w:t>
      </w:r>
      <w:r>
        <w:t xml:space="preserve"> </w:t>
      </w:r>
      <w:r>
        <w:rPr>
          <w:rStyle w:val="VerbatimChar"/>
        </w:rPr>
        <w:t xml:space="preserve">evidence-class: interval</w:t>
      </w:r>
      <w:r>
        <w:t xml:space="preserve"> </w:t>
      </w:r>
      <w:r>
        <w:t xml:space="preserve">is structurally different</w:t>
      </w:r>
      <w:r>
        <w:t xml:space="preserve"> </w:t>
      </w:r>
      <w:r>
        <w:t xml:space="preserve">from a</w:t>
      </w:r>
      <w:r>
        <w:t xml:space="preserve"> </w:t>
      </w:r>
      <w:r>
        <w:rPr>
          <w:rStyle w:val="VerbatimChar"/>
        </w:rPr>
        <w:t xml:space="preserve">point-in-time</w:t>
      </w:r>
      <w:r>
        <w:t xml:space="preserve"> </w:t>
      </w:r>
      <w:r>
        <w:t xml:space="preserve">adapter:</w:t>
      </w:r>
    </w:p>
    <w:p>
      <w:pPr>
        <w:pStyle w:val="Compact"/>
        <w:numPr>
          <w:ilvl w:val="0"/>
          <w:numId w:val="1005"/>
        </w:numPr>
      </w:pPr>
      <w:r>
        <w:t xml:space="preserve">The bundle’s SSP/POA&amp;M/KSI emissions can express</w:t>
      </w:r>
      <w:r>
        <w:t xml:space="preserve"> </w:t>
      </w:r>
      <w:r>
        <w:rPr>
          <w:i/>
          <w:iCs/>
        </w:rPr>
        <w:t xml:space="preserve">windowed</w:t>
      </w:r>
      <w:r>
        <w:t xml:space="preserve"> </w:t>
      </w:r>
      <w:r>
        <w:t xml:space="preserve">conformance — e.g. </w:t>
      </w:r>
      <w:r>
        <w:t xml:space="preserve">“MS.AAD.1.1 passed for 100% of intervals in the</w:t>
      </w:r>
      <w:r>
        <w:t xml:space="preserve"> </w:t>
      </w:r>
      <w:r>
        <w:t xml:space="preserve">last quarter except interval 2026-04-15..2026-04-22, which is</w:t>
      </w:r>
      <w:r>
        <w:t xml:space="preserve"> </w:t>
      </w:r>
      <w:r>
        <w:t xml:space="preserve">POA&amp;M-tracked.”</w:t>
      </w:r>
    </w:p>
    <w:p>
      <w:pPr>
        <w:pStyle w:val="Compact"/>
        <w:numPr>
          <w:ilvl w:val="0"/>
          <w:numId w:val="1005"/>
        </w:numPr>
      </w:pPr>
      <w:r>
        <w:t xml:space="preserve">Drift findings detect</w:t>
      </w:r>
      <w:r>
        <w:t xml:space="preserve"> </w:t>
      </w:r>
      <w:r>
        <w:rPr>
          <w:i/>
          <w:iCs/>
        </w:rPr>
        <w:t xml:space="preserve">trend</w:t>
      </w:r>
      <w:r>
        <w:t xml:space="preserve"> </w:t>
      </w:r>
      <w:r>
        <w:t xml:space="preserve">changes, not just point changes. A</w:t>
      </w:r>
      <w:r>
        <w:t xml:space="preserve"> </w:t>
      </w:r>
      <w:r>
        <w:t xml:space="preserve">control that was passing every interval and now fails one interval</w:t>
      </w:r>
      <w:r>
        <w:t xml:space="preserve"> </w:t>
      </w:r>
      <w:r>
        <w:t xml:space="preserve">is a different finding from one that has been failing continuously.</w:t>
      </w:r>
    </w:p>
    <w:p>
      <w:pPr>
        <w:pStyle w:val="Compact"/>
        <w:numPr>
          <w:ilvl w:val="0"/>
          <w:numId w:val="1005"/>
        </w:numPr>
      </w:pPr>
      <w:r>
        <w:t xml:space="preserve">Determinism applies per interval: re-running for a specific interval</w:t>
      </w:r>
      <w:r>
        <w:t xml:space="preserve"> </w:t>
      </w:r>
      <w:r>
        <w:t xml:space="preserve">produces the same bundle for that interval.</w:t>
      </w:r>
    </w:p>
    <w:p>
      <w:pPr>
        <w:pStyle w:val="FirstParagraph"/>
      </w:pPr>
      <w:r>
        <w:t xml:space="preserve">This is the structural reason ScubaGear-anchored ATO packages can</w:t>
      </w:r>
      <w:r>
        <w:t xml:space="preserve"> </w:t>
      </w:r>
      <w:r>
        <w:t xml:space="preserve">carry continuous-conformance language honestly — the substrate</w:t>
      </w:r>
      <w:r>
        <w:t xml:space="preserve"> </w:t>
      </w:r>
      <w:r>
        <w:t xml:space="preserve">supports it.</w:t>
      </w:r>
    </w:p>
    <w:bookmarkEnd w:id="23"/>
    <w:bookmarkStart w:id="24" w:name="adoption-posture"/>
    <w:p>
      <w:pPr>
        <w:pStyle w:val="Heading3"/>
      </w:pPr>
      <w:r>
        <w:t xml:space="preserve">7. Adoption posture</w:t>
      </w:r>
    </w:p>
    <w:p>
      <w:pPr>
        <w:pStyle w:val="FirstParagraph"/>
      </w:pPr>
      <w:r>
        <w:t xml:space="preserve">For an agency operating M365 today, the integration is incremental: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Run the adapter</w:t>
      </w:r>
      <w:r>
        <w:t xml:space="preserve"> </w:t>
      </w:r>
      <w:r>
        <w:t xml:space="preserve">via the canonical runner (workflow_dispatch is</w:t>
      </w:r>
      <w:r>
        <w:t xml:space="preserve"> </w:t>
      </w:r>
      <w:r>
        <w:t xml:space="preserve">the simplest entry point). Findings emit through the canonical</w:t>
      </w:r>
      <w:r>
        <w:t xml:space="preserve"> </w:t>
      </w:r>
      <w:r>
        <w:t xml:space="preserve">evidence chain immediately; no separate operator process is needed.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Map exceptions in canon, not narrative.</w:t>
      </w:r>
      <w:r>
        <w:t xml:space="preserve"> </w:t>
      </w:r>
      <w:r>
        <w:t xml:space="preserve">SCuBA findings that the</w:t>
      </w:r>
      <w:r>
        <w:t xml:space="preserve"> </w:t>
      </w:r>
      <w:r>
        <w:t xml:space="preserve">agency has accepted as compensating-controlled belong in canon as</w:t>
      </w:r>
      <w:r>
        <w:t xml:space="preserve"> </w:t>
      </w:r>
      <w:r>
        <w:t xml:space="preserve">exception declarations, not in a Word document. The schema gate</w:t>
      </w:r>
      <w:r>
        <w:t xml:space="preserve"> </w:t>
      </w:r>
      <w:r>
        <w:t xml:space="preserve">catches dangling exceptions automatically.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Pair with compensating-enforcement adapters where needed.</w:t>
      </w:r>
      <w:r>
        <w:t xml:space="preserve"> </w:t>
      </w:r>
      <w:r>
        <w:t xml:space="preserve">ScubaGear observes but does not enforce. Where the agency needs</w:t>
      </w:r>
      <w:r>
        <w:t xml:space="preserve"> </w:t>
      </w:r>
      <w:r>
        <w:t xml:space="preserve">enforcement for findings SCuBA reports, register the</w:t>
      </w:r>
      <w:r>
        <w:t xml:space="preserve"> </w:t>
      </w:r>
      <w:r>
        <w:t xml:space="preserve">compensating adapter and let its evidence flow alongside.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Surface drift findings to the AO, not just to the security</w:t>
      </w:r>
      <w:r>
        <w:rPr>
          <w:b/>
          <w:bCs/>
        </w:rPr>
        <w:t xml:space="preserve"> </w:t>
      </w:r>
      <w:r>
        <w:rPr>
          <w:b/>
          <w:bCs/>
        </w:rPr>
        <w:t xml:space="preserve">operations team.</w:t>
      </w:r>
      <w:r>
        <w:t xml:space="preserve"> </w:t>
      </w:r>
      <w:r>
        <w:t xml:space="preserve">The adapter’s drift findings (interval-to-</w:t>
      </w:r>
      <w:r>
        <w:t xml:space="preserve"> </w:t>
      </w:r>
      <w:r>
        <w:t xml:space="preserve">interval changes, schema mismatches) are AO-visible artifacts in</w:t>
      </w:r>
      <w:r>
        <w:t xml:space="preserve"> </w:t>
      </w:r>
      <w:r>
        <w:t xml:space="preserve">the OSCAL pipeline; treating them as such is a low-effort</w:t>
      </w:r>
      <w:r>
        <w:t xml:space="preserve"> </w:t>
      </w:r>
      <w:r>
        <w:t xml:space="preserve">adoption step.</w:t>
      </w:r>
    </w:p>
    <w:bookmarkEnd w:id="24"/>
    <w:bookmarkStart w:id="25" w:name="honest-limits"/>
    <w:p>
      <w:pPr>
        <w:pStyle w:val="Heading3"/>
      </w:pPr>
      <w:r>
        <w:t xml:space="preserve">8. Honest limits</w:t>
      </w:r>
    </w:p>
    <w:p>
      <w:pPr>
        <w:pStyle w:val="Compact"/>
        <w:numPr>
          <w:ilvl w:val="0"/>
          <w:numId w:val="1007"/>
        </w:numPr>
      </w:pPr>
      <w:r>
        <w:t xml:space="preserve">ScubaGear’s coverage is per-policy. It evaluates the SCuBA baselines;</w:t>
      </w:r>
      <w:r>
        <w:t xml:space="preserve"> </w:t>
      </w:r>
      <w:r>
        <w:t xml:space="preserve">it does not evaluate every M365 control. FMP’s adapter taxonomy</w:t>
      </w:r>
      <w:r>
        <w:t xml:space="preserve"> </w:t>
      </w:r>
      <w:r>
        <w:t xml:space="preserve">includes additional Phase-1+ slots (</w:t>
      </w:r>
      <w:r>
        <w:rPr>
          <w:rStyle w:val="VerbatimChar"/>
        </w:rPr>
        <w:t xml:space="preserve">vuln-scan</w:t>
      </w:r>
      <w:r>
        <w:t xml:space="preserve">,</w:t>
      </w:r>
      <w:r>
        <w:t xml:space="preserve"> </w:t>
      </w:r>
      <w:r>
        <w:rPr>
          <w:rStyle w:val="VerbatimChar"/>
        </w:rPr>
        <w:t xml:space="preserve">stig-compliance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patch-state</w:t>
      </w:r>
      <w:r>
        <w:t xml:space="preserve">) that round out coverage; ScubaGear is the policy</w:t>
      </w:r>
      <w:r>
        <w:t xml:space="preserve"> </w:t>
      </w:r>
      <w:r>
        <w:t xml:space="preserve">adapter, not the universal adapter.</w:t>
      </w:r>
    </w:p>
    <w:p>
      <w:pPr>
        <w:pStyle w:val="Compact"/>
        <w:numPr>
          <w:ilvl w:val="0"/>
          <w:numId w:val="1007"/>
        </w:numPr>
      </w:pPr>
      <w:r>
        <w:t xml:space="preserve">The adapter runs on an interval, not in continuous event-time mode.</w:t>
      </w:r>
      <w:r>
        <w:t xml:space="preserve"> </w:t>
      </w:r>
      <w:r>
        <w:t xml:space="preserve">Continuous capture across all adapters is TARGET maturity for the</w:t>
      </w:r>
      <w:r>
        <w:t xml:space="preserve"> </w:t>
      </w:r>
      <w:r>
        <w:t xml:space="preserve">substrate; ScubaGear’s interval mode is appropriate for its</w:t>
      </w:r>
      <w:r>
        <w:t xml:space="preserve"> </w:t>
      </w:r>
      <w:r>
        <w:t xml:space="preserve">evaluation model.</w:t>
      </w:r>
    </w:p>
    <w:p>
      <w:pPr>
        <w:pStyle w:val="Compact"/>
        <w:numPr>
          <w:ilvl w:val="0"/>
          <w:numId w:val="1007"/>
        </w:numPr>
      </w:pPr>
      <w:r>
        <w:t xml:space="preserve">The canonical KSI mapping is curated. Mapping new SCuBA policies</w:t>
      </w:r>
      <w:r>
        <w:t xml:space="preserve"> </w:t>
      </w:r>
      <w:r>
        <w:t xml:space="preserve">onto KSI rules is a canon-change operation, not an adapter-side</w:t>
      </w:r>
      <w:r>
        <w:t xml:space="preserve"> </w:t>
      </w:r>
      <w:r>
        <w:t xml:space="preserve">edit.</w:t>
      </w:r>
    </w:p>
    <w:bookmarkEnd w:id="25"/>
    <w:bookmarkStart w:id="26" w:name="conclusion"/>
    <w:p>
      <w:pPr>
        <w:pStyle w:val="Heading3"/>
      </w:pPr>
      <w:r>
        <w:t xml:space="preserve">9. Conclusion</w:t>
      </w:r>
    </w:p>
    <w:p>
      <w:pPr>
        <w:pStyle w:val="FirstParagraph"/>
      </w:pPr>
      <w:r>
        <w:t xml:space="preserve">CISA ScubaGear is, in FMP’s substrate,</w:t>
      </w:r>
      <w:r>
        <w:t xml:space="preserve"> </w:t>
      </w:r>
      <w:r>
        <w:rPr>
          <w:b/>
          <w:bCs/>
        </w:rPr>
        <w:t xml:space="preserve">a canonical adapter, not a</w:t>
      </w:r>
      <w:r>
        <w:rPr>
          <w:b/>
          <w:bCs/>
        </w:rPr>
        <w:t xml:space="preserve"> </w:t>
      </w:r>
      <w:r>
        <w:rPr>
          <w:b/>
          <w:bCs/>
        </w:rPr>
        <w:t xml:space="preserve">freestanding tool.</w:t>
      </w:r>
      <w:r>
        <w:t xml:space="preserve"> </w:t>
      </w:r>
      <w:r>
        <w:t xml:space="preserve">Its findings carry full provenance, map onto KSI</w:t>
      </w:r>
      <w:r>
        <w:t xml:space="preserve"> </w:t>
      </w:r>
      <w:r>
        <w:t xml:space="preserve">rules through canon, flow through deterministic OSCAL emission, and</w:t>
      </w:r>
      <w:r>
        <w:t xml:space="preserve"> </w:t>
      </w:r>
      <w:r>
        <w:t xml:space="preserve">participate in the substrate-wide drift engine. For an agency operating</w:t>
      </w:r>
      <w:r>
        <w:t xml:space="preserve"> </w:t>
      </w:r>
      <w:r>
        <w:t xml:space="preserve">M365 in GCC-Moderate, ScubaGear under FMP is the most direct path</w:t>
      </w:r>
      <w:r>
        <w:t xml:space="preserve"> </w:t>
      </w:r>
      <w:r>
        <w:t xml:space="preserve">from</w:t>
      </w:r>
      <w:r>
        <w:t xml:space="preserve"> </w:t>
      </w:r>
      <w:r>
        <w:t xml:space="preserve">“we run ScubaGear periodically”</w:t>
      </w:r>
      <w:r>
        <w:t xml:space="preserve"> </w:t>
      </w:r>
      <w:r>
        <w:t xml:space="preserve">to</w:t>
      </w:r>
      <w:r>
        <w:t xml:space="preserve"> </w:t>
      </w:r>
      <w:r>
        <w:t xml:space="preserve">“we emit continuous, reproducibly</w:t>
      </w:r>
      <w:r>
        <w:t xml:space="preserve"> </w:t>
      </w:r>
      <w:r>
        <w:t xml:space="preserve">verifiable conformance evidence into our ATO package.”</w:t>
      </w:r>
    </w:p>
    <w:p>
      <w:pPr>
        <w:pStyle w:val="BodyText"/>
      </w:pPr>
      <w:r>
        <w:t xml:space="preserve">The substrate is what makes ScubaGear’s output assessable rather than</w:t>
      </w:r>
      <w:r>
        <w:t xml:space="preserve"> </w:t>
      </w:r>
      <w:r>
        <w:t xml:space="preserve">archived.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This framing synthesizes canon work landed</w:t>
      </w:r>
      <w:r>
        <w:t xml:space="preserve"> </w:t>
      </w:r>
      <w:r>
        <w:t xml:space="preserve">across several PRs (#390, #393, #394, #395, #397, #402) that</w:t>
      </w:r>
      <w:r>
        <w:t xml:space="preserve"> </w:t>
      </w:r>
      <w:r>
        <w:t xml:space="preserve">established the SPN drift conditions, the Federal SSOT Context</w:t>
      </w:r>
      <w:r>
        <w:t xml:space="preserve"> </w:t>
      </w:r>
      <w:r>
        <w:t xml:space="preserve">section of the drift standard, and the spn_inventory schema</w:t>
      </w:r>
      <w:r>
        <w:t xml:space="preserve"> </w:t>
      </w:r>
      <w:r>
        <w:t xml:space="preserve">referenced above — see the SCuBA-SSOT provenance thread for full</w:t>
      </w:r>
      <w:r>
        <w:t xml:space="preserve"> </w:t>
      </w:r>
      <w:r>
        <w:t xml:space="preserve">history.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6" Target="../architecture/boundary-impact-model.md" TargetMode="External" /><Relationship Type="http://schemas.openxmlformats.org/officeDocument/2006/relationships/hyperlink" Id="rId21" Target="../case-studies/reference-deployment-fedciv-ad-to-entra.md" TargetMode="External" /><Relationship Type="http://schemas.openxmlformats.org/officeDocument/2006/relationships/hyperlink" Id="rId19" Target="federal-ssot-alignment.md" TargetMode="External" /><Relationship Type="http://schemas.openxmlformats.org/officeDocument/2006/relationships/hyperlink" Id="rId20" Target="https://cyber.dhs.gov/bod/25-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../architecture/boundary-impact-model.md" TargetMode="External" /><Relationship Type="http://schemas.openxmlformats.org/officeDocument/2006/relationships/hyperlink" Id="rId21" Target="../case-studies/reference-deployment-fedciv-ad-to-entra.md" TargetMode="External" /><Relationship Type="http://schemas.openxmlformats.org/officeDocument/2006/relationships/hyperlink" Id="rId19" Target="federal-ssot-alignment.md" TargetMode="External" /><Relationship Type="http://schemas.openxmlformats.org/officeDocument/2006/relationships/hyperlink" Id="rId20" Target="https://cyber.dhs.gov/bod/25-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ScubaGear Integration — Whitepaper</dc:title>
  <dc:creator>Michael Stratton</dc:creator>
  <cp:keywords/>
  <dcterms:created xsi:type="dcterms:W3CDTF">2026-10-19T10:11:55Z</dcterms:created>
  <dcterms:modified xsi:type="dcterms:W3CDTF">2026-10-19T10:11:55Z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reference">
    <vt:lpwstr/>
  </property>
  <property fmtid="{D5CDD505-2E9C-101B-9397-08002B2CF9AE}" pid="7" name="canon-source">
    <vt:lpwstr>src/fmp/canon/adapter-registry.yaml#scubagear</vt:lpwstr>
  </property>
  <property fmtid="{D5CDD505-2E9C-101B-9397-08002B2CF9AE}" pid="8" name="created-at">
    <vt:lpwstr>2026-06-18</vt:lpwstr>
  </property>
  <property fmtid="{D5CDD505-2E9C-101B-9397-08002B2CF9AE}" pid="9" name="date">
    <vt:lpwstr>2026-06-01</vt:lpwstr>
  </property>
  <property fmtid="{D5CDD505-2E9C-101B-9397-08002B2CF9AE}" pid="10" name="derived-from">
    <vt:lpwstr>fmp canon</vt:lpwstr>
  </property>
  <property fmtid="{D5CDD505-2E9C-101B-9397-08002B2CF9AE}" pid="11" name="doc-type">
    <vt:lpwstr>whitepaper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lifecycle">
    <vt:lpwstr>adopted</vt:lpwstr>
  </property>
  <property fmtid="{D5CDD505-2E9C-101B-9397-08002B2CF9AE}" pid="17" name="lifecycle_review">
    <vt:lpwstr>2026-11-22</vt:lpwstr>
  </property>
  <property fmtid="{D5CDD505-2E9C-101B-9397-08002B2CF9AE}" pid="18" name="status">
    <vt:lpwstr>Active</vt:lpwstr>
  </property>
  <property fmtid="{D5CDD505-2E9C-101B-9397-08002B2CF9AE}" pid="19" name="subtitle">
    <vt:lpwstr>Connecting CISA ScubaGear outputs to FMP’s evidence pipeline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1.3</vt:lpwstr>
  </property>
</Properties>
</file>