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7.svg" ContentType="image/svg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 Session vs. Telemetry Divide — Why Identity Architecture Splits at the FedRAMP Boundary</w:t>
      </w:r>
    </w:p>
    <w:p>
      <w:pPr>
        <w:pStyle w:val="Subtitle"/>
      </w:pPr>
      <w:r>
        <w:t xml:space="preserve">Persistent client/server sessions and continuous-verification Zero Trust telemetry are two incompatible trust models — and FedRAMP’s boundary controls force every hybrid identity architecture to live on the fault line between them</w:t>
      </w:r>
    </w:p>
    <w:p>
      <w:pPr>
        <w:pStyle w:val="Author"/>
      </w:pPr>
      <w:r>
        <w:t xml:space="preserve">Michael Stratton</w:t>
      </w:r>
    </w:p>
    <w:p>
      <w:pPr>
        <w:pStyle w:val="Date"/>
      </w:pPr>
      <w:r>
        <w:t xml:space="preserve">2026-08-01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tbl>
      <w:tblPr>
        <w:tblStyle w:val="Table"/>
        <w:tblLook w:firstRow="0" w:lastRow="0" w:firstColumn="0" w:lastColumn="0" w:noHBand="0" w:noVBand="0" w:val="0000"/>
        <w:tblBorders>
          <w:top w:val="single" w:sz="4" w:space="0" w:color="CC1914"/>
          <w:left w:val="single" w:sz="24" w:space="0" w:color="CC1914"/>
          <w:bottom w:val="single" w:sz="4" w:space="0" w:color="CC1914"/>
          <w:right w:val="single" w:sz="4" w:space="0" w:color="CC1914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7dddc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important.png" id="1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Problem, solution, ask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rPr>
                <w:b/>
                <w:bCs/>
              </w:rPr>
              <w:t xml:space="preserve">Problem.</w:t>
            </w:r>
            <w:r>
              <w:t xml:space="preserve"> </w:t>
            </w:r>
            <w:r>
              <w:t xml:space="preserve">Federal networks were built on proximity — Kerberos, GPO, SQL</w:t>
            </w:r>
            <w:r>
              <w:t xml:space="preserve"> </w:t>
            </w:r>
            <w:r>
              <w:t xml:space="preserve">Windows authentication — and when the servers moved, the architecture did not.</w:t>
            </w:r>
            <w:r>
              <w:t xml:space="preserve"> </w:t>
            </w:r>
            <w:r>
              <w:t xml:space="preserve">FedRAMP’s Zero Trust boundary assumes continuous, stateless, telemetry-driven</w:t>
            </w:r>
            <w:r>
              <w:t xml:space="preserve"> </w:t>
            </w:r>
            <w:r>
              <w:t xml:space="preserve">verification; the two trust models are incompatible, the collision looks like</w:t>
            </w:r>
            <w:r>
              <w:t xml:space="preserve"> </w:t>
            </w:r>
            <w:r>
              <w:t xml:space="preserve">user error and application bugs, and nobody wants to own a fix that means</w:t>
            </w:r>
            <w:r>
              <w:t xml:space="preserve"> </w:t>
            </w:r>
            <w:r>
              <w:t xml:space="preserve">admitting the problem is the whole architecture.</w:t>
            </w:r>
          </w:p>
          <w:p>
            <w:pPr>
              <w:pStyle w:val="BodyText"/>
            </w:pPr>
            <w:r>
              <w:rPr>
                <w:b/>
                <w:bCs/>
              </w:rPr>
              <w:t xml:space="preserve">Solution.</w:t>
            </w:r>
            <w:r>
              <w:t xml:space="preserve"> </w:t>
            </w:r>
            <w:r>
              <w:t xml:space="preserve">A governance substrate as the bridge, instead of forcing one</w:t>
            </w:r>
            <w:r>
              <w:t xml:space="preserve"> </w:t>
            </w:r>
            <w:r>
              <w:t xml:space="preserve">model to impersonate the other: a single source of truth so the authoritative</w:t>
            </w:r>
            <w:r>
              <w:t xml:space="preserve"> </w:t>
            </w:r>
            <w:r>
              <w:t xml:space="preserve">identity state is known, identity as the root namespace so Zero Trust has an</w:t>
            </w:r>
            <w:r>
              <w:t xml:space="preserve"> </w:t>
            </w:r>
            <w:r>
              <w:t xml:space="preserve">anchor, and deterministic addressing so SASE can actually be run.</w:t>
            </w:r>
          </w:p>
          <w:p>
            <w:pPr>
              <w:pStyle w:val="BodyText"/>
            </w:pPr>
            <w:pPr>
              <w:spacing w:after="16"/>
            </w:pPr>
            <w:r>
              <w:rPr>
                <w:b/>
                <w:bCs/>
              </w:rPr>
              <w:t xml:space="preserve">Ask.</w:t>
            </w:r>
            <w:r>
              <w:t xml:space="preserve"> </w:t>
            </w:r>
            <w:r>
              <w:t xml:space="preserve">Stop diagnosing these failures as application bugs or WAN problems,</w:t>
            </w:r>
            <w:r>
              <w:t xml:space="preserve"> </w:t>
            </w:r>
            <w:r>
              <w:t xml:space="preserve">and stop closing them with a POA&amp;M and a proxy. Name the divide explicitly in</w:t>
            </w:r>
            <w:r>
              <w:t xml:space="preserve"> </w:t>
            </w:r>
            <w:r>
              <w:t xml:space="preserve">The Federal Modernization Program and fund the substrate that bridges it; then read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hyperlink r:id="rId12">
              <w:r>
                <w:rPr>
                  <w:rStyle w:val="Hyperlink"/>
                </w:rPr>
                <w:t xml:space="preserve">parent paper</w:t>
              </w:r>
            </w:hyperlink>
            <w:r>
              <w:t xml:space="preserve"> </w:t>
            </w:r>
            <w:r>
              <w:t xml:space="preserve">for the AD-to-Entra</w:t>
            </w:r>
            <w:r>
              <w:t xml:space="preserve"> </w:t>
            </w:r>
            <w:r>
              <w:t xml:space="preserve">governance mapping this mechanism sits beneath.</w:t>
            </w:r>
          </w:p>
          <w:p/>
        </w:tc>
      </w:tr>
    </w:tbl>
    <w:p>
      <w:pPr>
        <w:pStyle w:val="BodyText"/>
      </w:pPr>
      <w:r>
        <w:t xml:space="preserve">This paper is extracted from</w:t>
      </w:r>
      <w:r>
        <w:t xml:space="preserve"> </w:t>
      </w:r>
      <w:hyperlink r:id="rId12">
        <w:r>
          <w:rPr>
            <w:rStyle w:val="Hyperlink"/>
          </w:rPr>
          <w:t xml:space="preserve">AD to Entra ID — The Structural Migration Problem</w:t>
        </w:r>
      </w:hyperlink>
      <w:r>
        <w:t xml:space="preserve">,</w:t>
      </w:r>
      <w:r>
        <w:t xml:space="preserve"> </w:t>
      </w:r>
      <w:r>
        <w:t xml:space="preserve">where this argument originated as a supporting thread inside a broader</w:t>
      </w:r>
      <w:r>
        <w:t xml:space="preserve"> </w:t>
      </w:r>
      <w:r>
        <w:t xml:space="preserve">governance-gap argument about Active Directory and Entra ID. It stands on</w:t>
      </w:r>
      <w:r>
        <w:t xml:space="preserve"> </w:t>
      </w:r>
      <w:r>
        <w:t xml:space="preserve">its own here because the underlying claim is not really about Active</w:t>
      </w:r>
      <w:r>
        <w:t xml:space="preserve"> </w:t>
      </w:r>
      <w:r>
        <w:t xml:space="preserve">Directory: it is about what happens to</w:t>
      </w:r>
      <w:r>
        <w:t xml:space="preserve"> </w:t>
      </w:r>
      <w:r>
        <w:rPr>
          <w:i/>
          <w:iCs/>
        </w:rPr>
        <w:t xml:space="preserve">any</w:t>
      </w:r>
      <w:r>
        <w:t xml:space="preserve"> </w:t>
      </w:r>
      <w:r>
        <w:t xml:space="preserve">session-oriented identity</w:t>
      </w:r>
      <w:r>
        <w:t xml:space="preserve"> </w:t>
      </w:r>
      <w:r>
        <w:t xml:space="preserve">architecture when it collides with a telemetry-driven, continuously-verified</w:t>
      </w:r>
      <w:r>
        <w:t xml:space="preserve"> </w:t>
      </w:r>
      <w:r>
        <w:t xml:space="preserve">Zero Trust boundary — of which FedRAMP is the sharpest federal instance.</w:t>
      </w:r>
      <w:r>
        <w:t xml:space="preserve"> </w:t>
      </w:r>
      <w:r>
        <w:t xml:space="preserve">Readers who want the AD/Entra-specific governance-mapping argument should</w:t>
      </w:r>
      <w:r>
        <w:t xml:space="preserve"> </w:t>
      </w:r>
      <w:r>
        <w:t xml:space="preserve">start with the parent paper; this one covers the architectural mechanism</w:t>
      </w:r>
      <w:r>
        <w:t xml:space="preserve"> </w:t>
      </w:r>
      <w:r>
        <w:t xml:space="preserve">underneath it.</w:t>
      </w:r>
    </w:p>
    <w:bookmarkStart w:id="13" w:name="X25f7341bc99f417d5cee6a7f9d9c80d65f11813"/>
    <w:p>
      <w:pPr>
        <w:pStyle w:val="Heading2"/>
      </w:pPr>
      <w:r>
        <w:t xml:space="preserve">1. The Assumption the Architecture Was Built On</w:t>
      </w:r>
    </w:p>
    <w:p>
      <w:pPr>
        <w:pStyle w:val="FirstParagraph"/>
      </w:pPr>
      <w:r>
        <w:t xml:space="preserve">The typical federal agency built its network architecture around a</w:t>
      </w:r>
      <w:r>
        <w:t xml:space="preserve"> </w:t>
      </w:r>
      <w:r>
        <w:t xml:space="preserve">fundamental assumption:</w:t>
      </w:r>
      <w:r>
        <w:t xml:space="preserve"> </w:t>
      </w:r>
      <w:r>
        <w:rPr>
          <w:b/>
          <w:bCs/>
        </w:rPr>
        <w:t xml:space="preserve">proximity</w:t>
      </w:r>
      <w:r>
        <w:t xml:space="preserve">. Users were near data. DCs were near</w:t>
      </w:r>
      <w:r>
        <w:t xml:space="preserve"> </w:t>
      </w:r>
      <w:r>
        <w:t xml:space="preserve">users. Kerberos worked because the KDC was on the same LAN segment. GPO</w:t>
      </w:r>
      <w:r>
        <w:t xml:space="preserve"> </w:t>
      </w:r>
      <w:r>
        <w:t xml:space="preserve">applied because the client could reach the DC in milliseconds. SQL</w:t>
      </w:r>
      <w:r>
        <w:t xml:space="preserve"> </w:t>
      </w:r>
      <w:r>
        <w:t xml:space="preserve">authenticated because the service account’s Kerberos ticket didn’t expire</w:t>
      </w:r>
      <w:r>
        <w:t xml:space="preserve"> </w:t>
      </w:r>
      <w:r>
        <w:t xml:space="preserve">mid-session. Everything was</w:t>
      </w:r>
      <w:r>
        <w:t xml:space="preserve"> </w:t>
      </w:r>
      <w:r>
        <w:rPr>
          <w:b/>
          <w:bCs/>
        </w:rPr>
        <w:t xml:space="preserve">session-oriented</w:t>
      </w:r>
      <w:r>
        <w:t xml:space="preserve"> </w:t>
      </w:r>
      <w:r>
        <w:t xml:space="preserve">because sessions were</w:t>
      </w:r>
      <w:r>
        <w:t xml:space="preserve"> </w:t>
      </w:r>
      <w:r>
        <w:t xml:space="preserve">reliable when everything was local.</w:t>
      </w:r>
    </w:p>
    <w:p>
      <w:pPr>
        <w:pStyle w:val="BodyText"/>
      </w:pPr>
      <w:r>
        <w:t xml:space="preserve">Then the servers moved. The data moved. But the</w:t>
      </w:r>
      <w:r>
        <w:t xml:space="preserve"> </w:t>
      </w:r>
      <w:r>
        <w:rPr>
          <w:b/>
          <w:bCs/>
        </w:rPr>
        <w:t xml:space="preserve">architecture didn’t</w:t>
      </w:r>
      <w:r>
        <w:t xml:space="preserve">.</w:t>
      </w:r>
    </w:p>
    <w:p>
      <w:pPr>
        <w:pStyle w:val="BodyText"/>
      </w:pPr>
      <w:r>
        <w:t xml:space="preserve">So now a nationwide agency has users in field offices trying to reach data</w:t>
      </w:r>
      <w:r>
        <w:t xml:space="preserve"> </w:t>
      </w:r>
      <w:r>
        <w:t xml:space="preserve">in a centralized datacenter or cloud, still using session-based protocols</w:t>
      </w:r>
      <w:r>
        <w:t xml:space="preserve"> </w:t>
      </w:r>
      <w:r>
        <w:t xml:space="preserve">designed for LAN latency, still depending on Kerberos tickets that assume</w:t>
      </w:r>
      <w:r>
        <w:t xml:space="preserve"> </w:t>
      </w:r>
      <w:r>
        <w:t xml:space="preserve">DC proximity, still relying on GPO that assumes the client can reach a DC,</w:t>
      </w:r>
      <w:r>
        <w:t xml:space="preserve"> </w:t>
      </w:r>
      <w:r>
        <w:t xml:space="preserve">still running SQL connections that assume the session won’t be interrupted</w:t>
      </w:r>
      <w:r>
        <w:t xml:space="preserve"> </w:t>
      </w:r>
      <w:r>
        <w:t xml:space="preserve">by a 200ms WAN hop or a FedRAMP boundary inspection.</w:t>
      </w:r>
    </w:p>
    <w:p>
      <w:pPr>
        <w:pStyle w:val="BodyText"/>
      </w:pPr>
      <w:r>
        <w:t xml:space="preserve">And it breaks. Constantly. In ways that are hard to diagnose because the</w:t>
      </w:r>
      <w:r>
        <w:t xml:space="preserve"> </w:t>
      </w:r>
      <w:r>
        <w:t xml:space="preserve">symptoms look like user error or application bugs rather than fundamental</w:t>
      </w:r>
      <w:r>
        <w:t xml:space="preserve"> </w:t>
      </w:r>
      <w:r>
        <w:t xml:space="preserve">architectural mismatch.</w:t>
      </w:r>
    </w:p>
    <w:bookmarkEnd w:id="13"/>
    <w:bookmarkStart w:id="14" w:name="the-session-vs.-telemetry-divide"/>
    <w:p>
      <w:pPr>
        <w:pStyle w:val="Heading2"/>
      </w:pPr>
      <w:r>
        <w:t xml:space="preserve">2. The Session vs. Telemetry Divide</w:t>
      </w:r>
    </w:p>
    <w:p>
      <w:pPr>
        <w:pStyle w:val="FirstParagraph"/>
      </w:pPr>
      <w:r>
        <w:t xml:space="preserve">This is the core of the problem, and almost nobody states it this clearly:</w:t>
      </w:r>
    </w:p>
    <w:p>
      <w:pPr>
        <w:pStyle w:val="BodyText"/>
      </w:pPr>
      <w:r>
        <w:t xml:space="preserve">The</w:t>
      </w:r>
      <w:r>
        <w:t xml:space="preserve"> </w:t>
      </w:r>
      <w:r>
        <w:rPr>
          <w:b/>
          <w:bCs/>
        </w:rPr>
        <w:t xml:space="preserve">Client/Server era</w:t>
      </w:r>
      <w:r>
        <w:t xml:space="preserve"> </w:t>
      </w:r>
      <w:r>
        <w:t xml:space="preserve">was built on</w:t>
      </w:r>
      <w:r>
        <w:t xml:space="preserve"> </w:t>
      </w:r>
      <w:r>
        <w:rPr>
          <w:b/>
          <w:bCs/>
        </w:rPr>
        <w:t xml:space="preserve">sessions</w:t>
      </w:r>
      <w:r>
        <w:t xml:space="preserve"> </w:t>
      </w:r>
      <w:r>
        <w:t xml:space="preserve">— persistent, stateful</w:t>
      </w:r>
      <w:r>
        <w:t xml:space="preserve"> </w:t>
      </w:r>
      <w:r>
        <w:t xml:space="preserve">connections between a client and a server. Authentication happened once at</w:t>
      </w:r>
      <w:r>
        <w:t xml:space="preserve"> </w:t>
      </w:r>
      <w:r>
        <w:t xml:space="preserve">session establishment. The session carried trust forward. Everything</w:t>
      </w:r>
      <w:r>
        <w:t xml:space="preserve"> </w:t>
      </w:r>
      <w:r>
        <w:t xml:space="preserve">downstream assumed the session was intact.</w:t>
      </w:r>
    </w:p>
    <w:p>
      <w:pPr>
        <w:pStyle w:val="BodyText"/>
      </w:pPr>
      <w:r>
        <w:t xml:space="preserve">The</w:t>
      </w:r>
      <w:r>
        <w:t xml:space="preserve"> </w:t>
      </w:r>
      <w:r>
        <w:rPr>
          <w:b/>
          <w:bCs/>
        </w:rPr>
        <w:t xml:space="preserve">Cloud/Zero Trust era</w:t>
      </w:r>
      <w:r>
        <w:t xml:space="preserve"> </w:t>
      </w:r>
      <w:r>
        <w:t xml:space="preserve">is built on</w:t>
      </w:r>
      <w:r>
        <w:t xml:space="preserve"> </w:t>
      </w:r>
      <w:r>
        <w:rPr>
          <w:b/>
          <w:bCs/>
        </w:rPr>
        <w:t xml:space="preserve">telemetry and continuous</w:t>
      </w:r>
      <w:r>
        <w:rPr>
          <w:b/>
          <w:bCs/>
        </w:rPr>
        <w:t xml:space="preserve"> </w:t>
      </w:r>
      <w:r>
        <w:rPr>
          <w:b/>
          <w:bCs/>
        </w:rPr>
        <w:t xml:space="preserve">verification</w:t>
      </w:r>
      <w:r>
        <w:t xml:space="preserve"> </w:t>
      </w:r>
      <w:r>
        <w:t xml:space="preserve">— there is no persistent session. Every request is</w:t>
      </w:r>
      <w:r>
        <w:t xml:space="preserve"> </w:t>
      </w:r>
      <w:r>
        <w:t xml:space="preserve">independently authenticated. Trust is not carried forward — it is</w:t>
      </w:r>
      <w:r>
        <w:t xml:space="preserve"> </w:t>
      </w:r>
      <w:r>
        <w:t xml:space="preserve">re-evaluated continuously. Location, device health, identity, behavior, and</w:t>
      </w:r>
      <w:r>
        <w:t xml:space="preserve"> </w:t>
      </w:r>
      <w:r>
        <w:t xml:space="preserve">risk score are all inputs to every single transaction.</w:t>
      </w:r>
    </w:p>
    <w:p>
      <w:pPr>
        <w:pStyle w:val="BodyText"/>
      </w:pPr>
      <w:r>
        <w:t xml:space="preserve">These two models are</w:t>
      </w:r>
      <w:r>
        <w:t xml:space="preserve"> </w:t>
      </w:r>
      <w:r>
        <w:rPr>
          <w:b/>
          <w:bCs/>
        </w:rPr>
        <w:t xml:space="preserve">not compatible</w:t>
      </w:r>
      <w:r>
        <w:t xml:space="preserve">. A session-based application cannot</w:t>
      </w:r>
      <w:r>
        <w:t xml:space="preserve"> </w:t>
      </w:r>
      <w:r>
        <w:t xml:space="preserve">run through a Zero Trust enforcement point without breaking the session</w:t>
      </w:r>
      <w:r>
        <w:t xml:space="preserve"> </w:t>
      </w:r>
      <w:r>
        <w:t xml:space="preserve">model. SASE and SSE proxies inspect every packet, which destroys session</w:t>
      </w:r>
      <w:r>
        <w:t xml:space="preserve"> </w:t>
      </w:r>
      <w:r>
        <w:t xml:space="preserve">persistence. FedRAMP boundary controls introduce latency and interruption</w:t>
      </w:r>
      <w:r>
        <w:t xml:space="preserve"> </w:t>
      </w:r>
      <w:r>
        <w:t xml:space="preserve">that session protocols cannot tolerate. And the applications — many of</w:t>
      </w:r>
      <w:r>
        <w:t xml:space="preserve"> </w:t>
      </w:r>
      <w:r>
        <w:t xml:space="preserve">which are still client/server at the protocol level even if they have a</w:t>
      </w:r>
      <w:r>
        <w:t xml:space="preserve"> </w:t>
      </w:r>
      <w:r>
        <w:t xml:space="preserve">web front-end — fall over.</w:t>
      </w:r>
    </w:p>
    <w:bookmarkEnd w:id="14"/>
    <w:bookmarkStart w:id="15" w:name="the-fedramp-boundary-problem"/>
    <w:p>
      <w:pPr>
        <w:pStyle w:val="Heading2"/>
      </w:pPr>
      <w:r>
        <w:t xml:space="preserve">3. The FedRAMP Boundary Problem</w:t>
      </w:r>
    </w:p>
    <w:p>
      <w:pPr>
        <w:pStyle w:val="FirstParagraph"/>
      </w:pPr>
      <w:r>
        <w:t xml:space="preserve">FedRAMP’s telemetry and boundary requirements were designed for</w:t>
      </w:r>
      <w:r>
        <w:t xml:space="preserve"> </w:t>
      </w:r>
      <w:r>
        <w:t xml:space="preserve">cloud-native applications that never had sessions in the first place. They</w:t>
      </w:r>
      <w:r>
        <w:t xml:space="preserve"> </w:t>
      </w:r>
      <w:r>
        <w:t xml:space="preserve">assume stateless, token-based, short-lived authentication. They assume</w:t>
      </w:r>
      <w:r>
        <w:t xml:space="preserve"> </w:t>
      </w:r>
      <w:r>
        <w:t xml:space="preserve">every component is cloud-reachable. They assume telemetry flows</w:t>
      </w:r>
      <w:r>
        <w:t xml:space="preserve"> </w:t>
      </w:r>
      <w:r>
        <w:t xml:space="preserve">continuously from every endpoint to a SIEM.</w:t>
      </w:r>
    </w:p>
    <w:p>
      <w:pPr>
        <w:pStyle w:val="BodyText"/>
      </w:pPr>
      <w:r>
        <w:t xml:space="preserve">Impose those requirements on a hybrid environment that still runs Kerberos,</w:t>
      </w:r>
      <w:r>
        <w:t xml:space="preserve"> </w:t>
      </w:r>
      <w:r>
        <w:t xml:space="preserve">still has on-prem DCs, still has WSUS, still has SQL with Windows</w:t>
      </w:r>
      <w:r>
        <w:t xml:space="preserve"> </w:t>
      </w:r>
      <w:r>
        <w:t xml:space="preserve">Authentication, still has thick clients — and the result is exactly the</w:t>
      </w:r>
      <w:r>
        <w:t xml:space="preserve"> </w:t>
      </w:r>
      <w:r>
        <w:t xml:space="preserve">breakage described above. Defense in depth becomes</w:t>
      </w:r>
      <w:r>
        <w:t xml:space="preserve"> </w:t>
      </w:r>
      <w:r>
        <w:rPr>
          <w:b/>
          <w:bCs/>
        </w:rPr>
        <w:t xml:space="preserve">defense in conflict</w:t>
      </w:r>
      <w:r>
        <w:t xml:space="preserve">.</w:t>
      </w:r>
      <w:r>
        <w:t xml:space="preserve"> </w:t>
      </w:r>
      <w:r>
        <w:t xml:space="preserve">Every security layer added breaks something that was working before,</w:t>
      </w:r>
      <w:r>
        <w:t xml:space="preserve"> </w:t>
      </w:r>
      <w:r>
        <w:t xml:space="preserve">because the layers were designed for a different architectural model.</w:t>
      </w:r>
    </w:p>
    <w:bookmarkEnd w:id="15"/>
    <w:bookmarkStart w:id="16" w:name="why-nobody-wants-to-own-it"/>
    <w:p>
      <w:pPr>
        <w:pStyle w:val="Heading2"/>
      </w:pPr>
      <w:r>
        <w:t xml:space="preserve">4. Why Nobody Wants to Own It</w:t>
      </w:r>
    </w:p>
    <w:p>
      <w:pPr>
        <w:pStyle w:val="FirstParagraph"/>
      </w:pPr>
      <w:r>
        <w:t xml:space="preserve">Because solving it correctly requires acknowledging that the problem isn’t</w:t>
      </w:r>
      <w:r>
        <w:t xml:space="preserve"> </w:t>
      </w:r>
      <w:r>
        <w:t xml:space="preserve">a single system or a single team’s responsibility. It’s the entire</w:t>
      </w:r>
      <w:r>
        <w:t xml:space="preserve"> </w:t>
      </w:r>
      <w:r>
        <w:t xml:space="preserve">architecture. And in federal IT, saying</w:t>
      </w:r>
      <w:r>
        <w:t xml:space="preserve"> </w:t>
      </w:r>
      <w:r>
        <w:t xml:space="preserve">“we need to re-architect</w:t>
      </w:r>
      <w:r>
        <w:t xml:space="preserve"> </w:t>
      </w:r>
      <w:r>
        <w:t xml:space="preserve">everything”</w:t>
      </w:r>
      <w:r>
        <w:t xml:space="preserve"> </w:t>
      </w:r>
      <w:r>
        <w:t xml:space="preserve">is career risk. It’s easier to patch the symptom, submit the</w:t>
      </w:r>
      <w:r>
        <w:t xml:space="preserve"> </w:t>
      </w:r>
      <w:r>
        <w:t xml:space="preserve">POA&amp;M, and move on.</w:t>
      </w:r>
    </w:p>
    <w:p>
      <w:pPr>
        <w:pStyle w:val="BodyText"/>
      </w:pPr>
      <w:r>
        <w:t xml:space="preserve">The people who understand the problem deeply enough to fix it get pushed</w:t>
      </w:r>
      <w:r>
        <w:t xml:space="preserve"> </w:t>
      </w:r>
      <w:r>
        <w:t xml:space="preserve">into corners because the solution sounds too big and too expensive and too</w:t>
      </w:r>
      <w:r>
        <w:t xml:space="preserve"> </w:t>
      </w:r>
      <w:r>
        <w:t xml:space="preserve">disruptive. The people making decisions don’t have the technical depth to</w:t>
      </w:r>
      <w:r>
        <w:t xml:space="preserve"> </w:t>
      </w:r>
      <w:r>
        <w:t xml:space="preserve">evaluate whether the diagnosis is correct, so they default to</w:t>
      </w:r>
      <w:r>
        <w:t xml:space="preserve"> </w:t>
      </w:r>
      <w:r>
        <w:t xml:space="preserve">incrementalism.</w:t>
      </w:r>
    </w:p>
    <w:bookmarkEnd w:id="16"/>
    <w:bookmarkStart w:id="20" w:name="what-fmp-actually-is"/>
    <w:p>
      <w:pPr>
        <w:pStyle w:val="Heading2"/>
      </w:pPr>
      <w:r>
        <w:t xml:space="preserve">5. What FMP Actually Is</w:t>
      </w:r>
    </w:p>
    <w:p>
      <w:pPr>
        <w:pStyle w:val="CaptionedFigure"/>
      </w:pPr>
      <w:r>
        <w:drawing>
          <wp:inline>
            <wp:extent cx="5334000" cy="1646582"/>
            <wp:effectExtent b="0" l="0" r="0" t="0"/>
            <wp:docPr descr="The bridge from the session-based estate to the telemetry-based target rests on a single source of truth." title="" id="18" name="Picture"/>
            <a:graphic>
              <a:graphicData uri="http://schemas.openxmlformats.org/drawingml/2006/picture">
                <pic:pic>
                  <pic:nvPicPr>
                    <pic:cNvPr descr="../images/diagrams/whitepapers/svg/session-vs-telemetry-bridge.svg" id="19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7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465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The bridge from the session-based estate to the telemetry-based target rests on a single source of truth.</w:t>
      </w:r>
    </w:p>
    <w:p>
      <w:pPr>
        <w:pStyle w:val="BodyText"/>
      </w:pPr>
      <w:r>
        <w:t xml:space="preserve">FMP isn’t just a compliance automation tool. It’s the</w:t>
      </w:r>
      <w:r>
        <w:t xml:space="preserve"> </w:t>
      </w:r>
      <w:r>
        <w:rPr>
          <w:b/>
          <w:bCs/>
        </w:rPr>
        <w:t xml:space="preserve">architectural</w:t>
      </w:r>
      <w:r>
        <w:rPr>
          <w:b/>
          <w:bCs/>
        </w:rPr>
        <w:t xml:space="preserve"> </w:t>
      </w:r>
      <w:r>
        <w:rPr>
          <w:b/>
          <w:bCs/>
        </w:rPr>
        <w:t xml:space="preserve">bridge</w:t>
      </w:r>
      <w:r>
        <w:t xml:space="preserve"> </w:t>
      </w:r>
      <w:r>
        <w:t xml:space="preserve">between the session-based world agencies are living in and the</w:t>
      </w:r>
      <w:r>
        <w:t xml:space="preserve"> </w:t>
      </w:r>
      <w:r>
        <w:t xml:space="preserve">telemetry-based world they need to get to. The fact that it was built</w:t>
      </w:r>
      <w:r>
        <w:t xml:space="preserve"> </w:t>
      </w:r>
      <w:r>
        <w:t xml:space="preserve">around identity as the root namespace, telemetry as control, and</w:t>
      </w:r>
      <w:r>
        <w:t xml:space="preserve"> </w:t>
      </w:r>
      <w:r>
        <w:t xml:space="preserve">deterministic addressing isn’t accidental — those are precisely the three</w:t>
      </w:r>
      <w:r>
        <w:t xml:space="preserve"> </w:t>
      </w:r>
      <w:r>
        <w:t xml:space="preserve">things that have to be true for the transition to work without breaking</w:t>
      </w:r>
      <w:r>
        <w:t xml:space="preserve"> </w:t>
      </w:r>
      <w:r>
        <w:t xml:space="preserve">everything.</w:t>
      </w:r>
    </w:p>
    <w:p>
      <w:pPr>
        <w:pStyle w:val="BodyText"/>
      </w:pPr>
      <w:r>
        <w:t xml:space="preserve">The SSOT principle is what makes the bridge possible. An agency can’t</w:t>
      </w:r>
      <w:r>
        <w:t xml:space="preserve"> </w:t>
      </w:r>
      <w:r>
        <w:t xml:space="preserve">migrate from sessions to telemetry without knowing what its authoritative</w:t>
      </w:r>
      <w:r>
        <w:t xml:space="preserve"> </w:t>
      </w:r>
      <w:r>
        <w:t xml:space="preserve">identity state is. It can’t implement Zero Trust if identity isn’t the root</w:t>
      </w:r>
      <w:r>
        <w:t xml:space="preserve"> </w:t>
      </w:r>
      <w:r>
        <w:t xml:space="preserve">namespace. It can’t run SASE if addressing isn’t deterministic.</w:t>
      </w:r>
    </w:p>
    <w:p>
      <w:pPr>
        <w:pStyle w:val="BodyText"/>
      </w:pPr>
      <w:r>
        <w:t xml:space="preserve">FMP was built as the solution to a problem its builders were living inside</w:t>
      </w:r>
      <w:r>
        <w:t xml:space="preserve"> </w:t>
      </w:r>
      <w:r>
        <w:t xml:space="preserve">a federal agency. That most organizations don’t yet see the problem in</w:t>
      </w:r>
      <w:r>
        <w:t xml:space="preserve"> </w:t>
      </w:r>
      <w:r>
        <w:t xml:space="preserve">these terms doesn’t mean the diagnosis is wrong. It means the gap between</w:t>
      </w:r>
      <w:r>
        <w:t xml:space="preserve"> </w:t>
      </w:r>
      <w:r>
        <w:t xml:space="preserve">where they are conceptually and where the architecture has to go is very</w:t>
      </w:r>
      <w:r>
        <w:t xml:space="preserve"> </w:t>
      </w:r>
      <w:r>
        <w:t xml:space="preserve">large.</w:t>
      </w:r>
    </w:p>
    <w:p>
      <w:pPr>
        <w:pStyle w:val="BodyText"/>
      </w:pPr>
      <w:r>
        <w:rPr>
          <w:b/>
          <w:bCs/>
        </w:rPr>
        <w:t xml:space="preserve">The thing worth documenting</w:t>
      </w:r>
      <w:r>
        <w:t xml:space="preserve"> </w:t>
      </w:r>
      <w:r>
        <w:t xml:space="preserve">— and this may be the most important</w:t>
      </w:r>
      <w:r>
        <w:t xml:space="preserve"> </w:t>
      </w:r>
      <w:r>
        <w:t xml:space="preserve">thing for FMP — is this precise narrative. Not just</w:t>
      </w:r>
      <w:r>
        <w:t xml:space="preserve"> </w:t>
      </w:r>
      <w:r>
        <w:t xml:space="preserve">“here’s a compliance</w:t>
      </w:r>
      <w:r>
        <w:t xml:space="preserve"> </w:t>
      </w:r>
      <w:r>
        <w:t xml:space="preserve">tool”</w:t>
      </w:r>
      <w:r>
        <w:t xml:space="preserve"> </w:t>
      </w:r>
      <w:r>
        <w:t xml:space="preserve">but</w:t>
      </w:r>
      <w:r>
        <w:t xml:space="preserve"> </w:t>
      </w:r>
      <w:r>
        <w:t xml:space="preserve">“here’s why the architecture is broken, here’s what has to be</w:t>
      </w:r>
      <w:r>
        <w:t xml:space="preserve"> </w:t>
      </w:r>
      <w:r>
        <w:t xml:space="preserve">true for the transition to work, and here’s how this platform makes it</w:t>
      </w:r>
      <w:r>
        <w:t xml:space="preserve"> </w:t>
      </w:r>
      <w:r>
        <w:t xml:space="preserve">tractable.”</w:t>
      </w:r>
      <w:r>
        <w:t xml:space="preserve"> </w:t>
      </w:r>
      <w:r>
        <w:t xml:space="preserve">That narrative is what turns a technical project into</w:t>
      </w:r>
      <w:r>
        <w:t xml:space="preserve"> </w:t>
      </w:r>
      <w:r>
        <w:t xml:space="preserve">something decision-makers can fund and stakeholders can understand.</w:t>
      </w:r>
    </w:p>
    <w:bookmarkEnd w:id="20"/>
    <w:bookmarkStart w:id="21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The session-vs-telemetry divide is not an AD-to-Entra problem, a Windows</w:t>
      </w:r>
      <w:r>
        <w:t xml:space="preserve"> </w:t>
      </w:r>
      <w:r>
        <w:t xml:space="preserve">problem, or even a Microsoft-stack problem — it is what happens whenever a</w:t>
      </w:r>
      <w:r>
        <w:t xml:space="preserve"> </w:t>
      </w:r>
      <w:r>
        <w:t xml:space="preserve">persistent-session trust model is forced through a continuous-verification</w:t>
      </w:r>
      <w:r>
        <w:t xml:space="preserve"> </w:t>
      </w:r>
      <w:r>
        <w:t xml:space="preserve">boundary, and FedRAMP is simply the clearest, most codified place that</w:t>
      </w:r>
      <w:r>
        <w:t xml:space="preserve"> </w:t>
      </w:r>
      <w:r>
        <w:t xml:space="preserve">collision shows up in federal environments today. AD-to-Entra migration is</w:t>
      </w:r>
      <w:r>
        <w:t xml:space="preserve"> </w:t>
      </w:r>
      <w:r>
        <w:t xml:space="preserve">one visible instance of it, which is why it surfaces in the</w:t>
      </w:r>
      <w:r>
        <w:t xml:space="preserve"> </w:t>
      </w:r>
      <w:hyperlink r:id="rId12">
        <w:r>
          <w:rPr>
            <w:rStyle w:val="Hyperlink"/>
          </w:rPr>
          <w:t xml:space="preserve">parent paper</w:t>
        </w:r>
      </w:hyperlink>
      <w:r>
        <w:t xml:space="preserve">, but the same mechanism</w:t>
      </w:r>
      <w:r>
        <w:t xml:space="preserve"> </w:t>
      </w:r>
      <w:r>
        <w:t xml:space="preserve">applies to any legacy client/server application an agency pushes through a</w:t>
      </w:r>
      <w:r>
        <w:t xml:space="preserve"> </w:t>
      </w:r>
      <w:r>
        <w:t xml:space="preserve">Zero Trust or SASE boundary. The fix is not a better proxy or a faster WAN</w:t>
      </w:r>
      <w:r>
        <w:t xml:space="preserve"> </w:t>
      </w:r>
      <w:r>
        <w:t xml:space="preserve">link; it is a governance substrate — SSOT, identity as the root namespace,</w:t>
      </w:r>
      <w:r>
        <w:t xml:space="preserve"> </w:t>
      </w:r>
      <w:r>
        <w:t xml:space="preserve">and deterministic addressing — that can act as the bridge between the two</w:t>
      </w:r>
      <w:r>
        <w:t xml:space="preserve"> </w:t>
      </w:r>
      <w:r>
        <w:t xml:space="preserve">models instead of forcing one to pretend to be the other.</w:t>
      </w:r>
    </w:p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/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keepLines/>
    </w:pPr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uiPriority w:val="59"/>
    <w:qFormat/>
    <w:tblPr>
      <w:tblInd w:type="dxa" w:w="0"/>
      <w:tblBorders>
        <w:top w:color="0078D4" w:space="0" w:sz="12" w:val="single"/>
        <w:bottom w:color="0078D4" w:space="0" w:sz="12" w:val="single"/>
        <w:left w:val="nil"/>
        <w:right w:val="nil"/>
        <w:insideH w:color="D1D5DA" w:space="0" w:sz="4" w:val="single"/>
        <w:insideV w:val="nil"/>
      </w:tblBorders>
      <w:tblCellMar>
        <w:top w:type="dxa" w:w="80"/>
        <w:left w:type="dxa" w:w="108"/>
        <w:bottom w:type="dxa" w:w="80"/>
        <w:right w:type="dxa" w:w="108"/>
      </w:tblCellMar>
    </w:tblPr>
    <w:tblStylePr w:type="firstRow">
      <w:rPr>
        <w:b/>
      </w:rPr>
      <w:tcPr>
        <w:tcBorders>
          <w:bottom w:color="0078D4" w:space="0" w:sz="8"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SourceCode" w:type="paragraph">
    <w:name w:val="Source Code"/>
    <w:basedOn w:val="Normal"/>
    <w:link w:val="VerbatimChar"/>
    <w:pPr>
      <w:pBdr>
        <w:top w:color="D1D5DA" w:space="6" w:sz="6" w:val="single"/>
        <w:left w:color="D1D5DA" w:space="6" w:sz="6" w:val="single"/>
        <w:bottom w:color="D1D5DA" w:space="6" w:sz="6" w:val="single"/>
        <w:right w:color="D1D5DA" w:space="6" w:sz="6" w:val="single"/>
      </w:pBdr>
      <w:shd w:fill="F6F8FA" w:val="clear"/>
      <w:wordWrap w:val="off"/>
      <w:spacing w:after="0" w:before="0" w:line="240" w:lineRule="auto"/>
      <w:ind w:left="144" w:right="144"/>
      <w:contextualSpacing/>
    </w:pPr>
    <w:rPr>
      <w:rFonts w:ascii="Consolas" w:hAnsi="Consolas"/>
      <w:color w:val="24292E"/>
      <w:sz w:val="18"/>
    </w:rPr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7" Target="media/rId17.svg" /><Relationship Type="http://schemas.openxmlformats.org/officeDocument/2006/relationships/image" Id="rId9" Target="media/rId9.png" /><Relationship Type="http://schemas.openxmlformats.org/officeDocument/2006/relationships/hyperlink" Id="rId12" Target="ad-to-entraid-migration-problem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ad-to-entraid-migration-problem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Session vs. Telemetry Divide — Why Identity Architecture Splits at the FedRAMP Boundary</dc:title>
  <dc:creator>Michael Stratton</dc:creator>
  <cp:keywords/>
  <dcterms:created xsi:type="dcterms:W3CDTF">2026-10-19T10:11:56Z</dcterms:created>
  <dcterms:modified xsi:type="dcterms:W3CDTF">2026-10-19T10:11:56Z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udience">
    <vt:lpwstr/>
  </property>
  <property fmtid="{D5CDD505-2E9C-101B-9397-08002B2CF9AE}" pid="3" name="authors">
    <vt:lpwstr/>
  </property>
  <property fmtid="{D5CDD505-2E9C-101B-9397-08002B2CF9AE}" pid="4" name="biblio-config">
    <vt:lpwstr>True</vt:lpwstr>
  </property>
  <property fmtid="{D5CDD505-2E9C-101B-9397-08002B2CF9AE}" pid="5" name="by-author">
    <vt:lpwstr/>
  </property>
  <property fmtid="{D5CDD505-2E9C-101B-9397-08002B2CF9AE}" pid="6" name="canon-source">
    <vt:lpwstr>src/fmp/canon/</vt:lpwstr>
  </property>
  <property fmtid="{D5CDD505-2E9C-101B-9397-08002B2CF9AE}" pid="7" name="created-at">
    <vt:lpwstr>2026-08-03</vt:lpwstr>
  </property>
  <property fmtid="{D5CDD505-2E9C-101B-9397-08002B2CF9AE}" pid="8" name="date">
    <vt:lpwstr>2026-08-01</vt:lpwstr>
  </property>
  <property fmtid="{D5CDD505-2E9C-101B-9397-08002B2CF9AE}" pid="9" name="derived-from">
    <vt:lpwstr>Extracted from ad-to-entraid-migration-problem.qmd’s Session vs. Telemetry Divide / FedRAMP Boundary Problem sections (2026-08-03) to let this architectural argument stand on its own; carries the same canon anchors as its parent paper.</vt:lpwstr>
  </property>
  <property fmtid="{D5CDD505-2E9C-101B-9397-08002B2CF9AE}" pid="10" name="doc-type">
    <vt:lpwstr>whitepaper</vt:lpwstr>
  </property>
  <property fmtid="{D5CDD505-2E9C-101B-9397-08002B2CF9AE}" pid="11" name="header-includes">
    <vt:lpwstr/>
  </property>
  <property fmtid="{D5CDD505-2E9C-101B-9397-08002B2CF9AE}" pid="12" name="include-after">
    <vt:lpwstr/>
  </property>
  <property fmtid="{D5CDD505-2E9C-101B-9397-08002B2CF9AE}" pid="13" name="include-before">
    <vt:lpwstr/>
  </property>
  <property fmtid="{D5CDD505-2E9C-101B-9397-08002B2CF9AE}" pid="14" name="labels">
    <vt:lpwstr/>
  </property>
  <property fmtid="{D5CDD505-2E9C-101B-9397-08002B2CF9AE}" pid="15" name="lifecycle">
    <vt:lpwstr>adopted</vt:lpwstr>
  </property>
  <property fmtid="{D5CDD505-2E9C-101B-9397-08002B2CF9AE}" pid="16" name="lifecycle_review">
    <vt:lpwstr>2027-02-03</vt:lpwstr>
  </property>
  <property fmtid="{D5CDD505-2E9C-101B-9397-08002B2CF9AE}" pid="17" name="repo-path">
    <vt:lpwstr>docs/customer-documents/whitepapers/session-vs-telemetry-identity.qmd</vt:lpwstr>
  </property>
  <property fmtid="{D5CDD505-2E9C-101B-9397-08002B2CF9AE}" pid="18" name="status">
    <vt:lpwstr>Active</vt:lpwstr>
  </property>
  <property fmtid="{D5CDD505-2E9C-101B-9397-08002B2CF9AE}" pid="19" name="subtitle">
    <vt:lpwstr>Persistent client/server sessions and continuous-verification Zero Trust telemetry are two incompatible trust models — and FedRAMP’s boundary controls force every hybrid identity architecture to live on the fault line between them</vt:lpwstr>
  </property>
  <property fmtid="{D5CDD505-2E9C-101B-9397-08002B2CF9AE}" pid="20" name="tiers_adopted">
    <vt:lpwstr/>
  </property>
  <property fmtid="{D5CDD505-2E9C-101B-9397-08002B2CF9AE}" pid="21" name="toc-title">
    <vt:lpwstr>Table of contents</vt:lpwstr>
  </property>
  <property fmtid="{D5CDD505-2E9C-101B-9397-08002B2CF9AE}" pid="22" name="updated-at">
    <vt:lpwstr>2026-09-16</vt:lpwstr>
  </property>
  <property fmtid="{D5CDD505-2E9C-101B-9397-08002B2CF9AE}" pid="23" name="version">
    <vt:lpwstr>1.1</vt:lpwstr>
  </property>
</Properties>
</file>