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table-of-contents"/>
    <w:p>
      <w:pPr>
        <w:pStyle w:val="Heading1"/>
      </w:pPr>
      <w:r>
        <w:t xml:space="preserve">Table of Contents</w:t>
      </w:r>
    </w:p>
    <w:p>
      <w:pPr>
        <w:pStyle w:val="FirstParagraph"/>
      </w:pPr>
      <w:r>
        <w:rPr>
          <w:i/>
          <w:iCs/>
        </w:rPr>
        <w:t xml:space="preserve">Independent technical analysis. Policy and product statements are</w:t>
      </w:r>
      <w:r>
        <w:rPr>
          <w:i/>
          <w:iCs/>
        </w:rPr>
        <w:t xml:space="preserve"> </w:t>
      </w:r>
      <w:r>
        <w:rPr>
          <w:i/>
          <w:iCs/>
        </w:rPr>
        <w:t xml:space="preserve">current as of the date above. Section 10 records sources and states</w:t>
      </w:r>
      <w:r>
        <w:rPr>
          <w:i/>
          <w:iCs/>
        </w:rPr>
        <w:t xml:space="preserve"> </w:t>
      </w:r>
      <w:r>
        <w:rPr>
          <w:i/>
          <w:iCs/>
        </w:rPr>
        <w:t xml:space="preserve">which figures are measurements, which are estimates, and which could not</w:t>
      </w:r>
      <w:r>
        <w:rPr>
          <w:i/>
          <w:iCs/>
        </w:rPr>
        <w:t xml:space="preserve"> </w:t>
      </w:r>
      <w:r>
        <w:rPr>
          <w:i/>
          <w:iCs/>
        </w:rPr>
        <w:t xml:space="preserve">be found at all.</w:t>
      </w:r>
    </w:p>
    <w:bookmarkEnd w:id="9"/>
    <w:bookmarkStart w:id="10" w:name="executive-summary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Most writing about federal branch networking assumes the agency is about</w:t>
      </w:r>
      <w:r>
        <w:t xml:space="preserve"> </w:t>
      </w:r>
      <w:r>
        <w:t xml:space="preserve">to deploy SD-WAN and adopt a TIC 3.0 use case. For many agencies neither</w:t>
      </w:r>
      <w:r>
        <w:t xml:space="preserve"> </w:t>
      </w:r>
      <w:r>
        <w:t xml:space="preserve">is true, and neither will be true for years. The acquisition is not</w:t>
      </w:r>
      <w:r>
        <w:t xml:space="preserve"> </w:t>
      </w:r>
      <w:r>
        <w:t xml:space="preserve">funded, the task orders are not placed, the branch count is in the</w:t>
      </w:r>
      <w:r>
        <w:t xml:space="preserve"> </w:t>
      </w:r>
      <w:r>
        <w:t xml:space="preserve">hundreds or thousands, and the staff who would run the programme are</w:t>
      </w:r>
      <w:r>
        <w:t xml:space="preserve"> </w:t>
      </w:r>
      <w:r>
        <w:t xml:space="preserve">absorbed by three other mandates with deadlines inside the next fifteen</w:t>
      </w:r>
      <w:r>
        <w:t xml:space="preserve"> </w:t>
      </w:r>
      <w:r>
        <w:t xml:space="preserve">months.</w:t>
      </w:r>
    </w:p>
    <w:p>
      <w:pPr>
        <w:pStyle w:val="BodyText"/>
      </w:pPr>
      <w:r>
        <w:t xml:space="preserve">This paper is about that interval.</w:t>
      </w:r>
    </w:p>
    <w:p>
      <w:pPr>
        <w:pStyle w:val="BodyText"/>
      </w:pPr>
      <w:r>
        <w:rPr>
          <w:b/>
          <w:bCs/>
        </w:rPr>
        <w:t xml:space="preserve">Finding 1 — SD-WAN with a TIC 3.0 use case is the residual</w:t>
      </w:r>
      <w:r>
        <w:rPr>
          <w:b/>
          <w:bCs/>
        </w:rPr>
        <w:t xml:space="preserve"> </w:t>
      </w:r>
      <w:r>
        <w:rPr>
          <w:b/>
          <w:bCs/>
        </w:rPr>
        <w:t xml:space="preserve">architecture, not the mandated one.</w:t>
      </w:r>
      <w:r>
        <w:t xml:space="preserve"> </w:t>
      </w:r>
      <w:r>
        <w:t xml:space="preserve">No federal instrument, civilian or</w:t>
      </w:r>
      <w:r>
        <w:t xml:space="preserve"> </w:t>
      </w:r>
      <w:r>
        <w:t xml:space="preserve">defense, names SASE or SD-WAN as required. DoD’s own Zero Trust Strategy</w:t>
      </w:r>
      <w:r>
        <w:t xml:space="preserve"> </w:t>
      </w:r>
      <w:r>
        <w:t xml:space="preserve">states that it</w:t>
      </w:r>
      <w:r>
        <w:t xml:space="preserve"> </w:t>
      </w:r>
      <w:r>
        <w:t xml:space="preserve">“does not mandate or prescribe specific technologies or</w:t>
      </w:r>
      <w:r>
        <w:t xml:space="preserve"> </w:t>
      </w:r>
      <w:r>
        <w:t xml:space="preserve">potential solutions.”</w:t>
      </w:r>
      <w:r>
        <w:t xml:space="preserve"> </w:t>
      </w:r>
      <w:r>
        <w:t xml:space="preserve">What has happened instead is that the alternatives</w:t>
      </w:r>
      <w:r>
        <w:t xml:space="preserve"> </w:t>
      </w:r>
      <w:r>
        <w:t xml:space="preserve">closed one at a time: the legacy transport vehicles expired in early</w:t>
      </w:r>
      <w:r>
        <w:t xml:space="preserve"> </w:t>
      </w:r>
      <w:r>
        <w:t xml:space="preserve">2026, the hairpin model is what policy moved away from, agency-operated</w:t>
      </w:r>
      <w:r>
        <w:t xml:space="preserve"> </w:t>
      </w:r>
      <w:r>
        <w:t xml:space="preserve">access points carry costs few agencies will take on, and cloud-provider</w:t>
      </w:r>
      <w:r>
        <w:t xml:space="preserve"> </w:t>
      </w:r>
      <w:r>
        <w:t xml:space="preserve">private connectivity solves less than agencies assume — including for</w:t>
      </w:r>
      <w:r>
        <w:t xml:space="preserve"> </w:t>
      </w:r>
      <w:r>
        <w:t xml:space="preserve">Microsoft 365, where it solves considerably less than an agency approved</w:t>
      </w:r>
      <w:r>
        <w:t xml:space="preserve"> </w:t>
      </w:r>
      <w:r>
        <w:t xml:space="preserve">for it in 2018 is likely to believe. What remains is a branch-edge</w:t>
      </w:r>
      <w:r>
        <w:t xml:space="preserve"> </w:t>
      </w:r>
      <w:r>
        <w:t xml:space="preserve">policy layer feeding a cloud-delivered security stack. That is a</w:t>
      </w:r>
      <w:r>
        <w:t xml:space="preserve"> </w:t>
      </w:r>
      <w:r>
        <w:t xml:space="preserve">conclusion by elimination, and it should be argued as one. (Section 2)</w:t>
      </w:r>
    </w:p>
    <w:p>
      <w:pPr>
        <w:pStyle w:val="BodyText"/>
      </w:pPr>
      <w:r>
        <w:rPr>
          <w:b/>
          <w:bCs/>
        </w:rPr>
        <w:t xml:space="preserve">Finding 2 — technology-neutral is not requirement-free, and four</w:t>
      </w:r>
      <w:r>
        <w:rPr>
          <w:b/>
          <w:bCs/>
        </w:rPr>
        <w:t xml:space="preserve"> </w:t>
      </w:r>
      <w:r>
        <w:rPr>
          <w:b/>
          <w:bCs/>
        </w:rPr>
        <w:t xml:space="preserve">binding obligations land directly on branch equipment.</w:t>
      </w:r>
      <w:r>
        <w:t xml:space="preserve"> </w:t>
      </w:r>
      <w:r>
        <w:t xml:space="preserve">This is the</w:t>
      </w:r>
      <w:r>
        <w:t xml:space="preserve"> </w:t>
      </w:r>
      <w:r>
        <w:t xml:space="preserve">correction to the way the</w:t>
      </w:r>
      <w:r>
        <w:t xml:space="preserve"> </w:t>
      </w:r>
      <w:r>
        <w:t xml:space="preserve">“no mandate”</w:t>
      </w:r>
      <w:r>
        <w:t xml:space="preserve"> </w:t>
      </w:r>
      <w:r>
        <w:t xml:space="preserve">argument is usually made. Egress</w:t>
      </w:r>
      <w:r>
        <w:t xml:space="preserve"> </w:t>
      </w:r>
      <w:r>
        <w:t xml:space="preserve">DNS must route to CISA’s Protective DNS, on a statutory basis rather</w:t>
      </w:r>
      <w:r>
        <w:t xml:space="preserve"> </w:t>
      </w:r>
      <w:r>
        <w:t xml:space="preserve">than a memorandum. Internet-exposed management interfaces on routers,</w:t>
      </w:r>
      <w:r>
        <w:t xml:space="preserve"> </w:t>
      </w:r>
      <w:r>
        <w:t xml:space="preserve">firewalls and VPN concentrators must be removed or fronted by a separate</w:t>
      </w:r>
      <w:r>
        <w:t xml:space="preserve"> </w:t>
      </w:r>
      <w:r>
        <w:t xml:space="preserve">policy enforcement point (BOD 23-02). End-of-support edge devices must</w:t>
      </w:r>
      <w:r>
        <w:t xml:space="preserve"> </w:t>
      </w:r>
      <w:r>
        <w:t xml:space="preserve">be off agency networks by</w:t>
      </w:r>
      <w:r>
        <w:t xml:space="preserve"> </w:t>
      </w:r>
      <w:r>
        <w:rPr>
          <w:b/>
          <w:bCs/>
        </w:rPr>
        <w:t xml:space="preserve">August 2027</w:t>
      </w:r>
      <w:r>
        <w:t xml:space="preserve"> </w:t>
      </w:r>
      <w:r>
        <w:t xml:space="preserve">(BOD 26-02). Any device</w:t>
      </w:r>
      <w:r>
        <w:t xml:space="preserve"> </w:t>
      </w:r>
      <w:r>
        <w:t xml:space="preserve">terminating TLS or IPsec must support post-quantum key exchange</w:t>
      </w:r>
      <w:r>
        <w:t xml:space="preserve"> </w:t>
      </w:r>
      <w:r>
        <w:t xml:space="preserve">(M-26-15). None names a product. All constrain what a branch can look</w:t>
      </w:r>
      <w:r>
        <w:t xml:space="preserve"> </w:t>
      </w:r>
      <w:r>
        <w:t xml:space="preserve">like. (Section 3.3)</w:t>
      </w:r>
    </w:p>
    <w:p>
      <w:pPr>
        <w:pStyle w:val="BodyText"/>
      </w:pPr>
      <w:r>
        <w:rPr>
          <w:b/>
          <w:bCs/>
        </w:rPr>
        <w:t xml:space="preserve">Finding 3 — there is no federal requirement that WAN transport be</w:t>
      </w:r>
      <w:r>
        <w:rPr>
          <w:b/>
          <w:bCs/>
        </w:rPr>
        <w:t xml:space="preserve"> </w:t>
      </w:r>
      <w:r>
        <w:rPr>
          <w:b/>
          <w:bCs/>
        </w:rPr>
        <w:t xml:space="preserve">encrypted, and the requirement people assume exists does not.</w:t>
      </w:r>
      <w:r>
        <w:t xml:space="preserve"> </w:t>
      </w:r>
      <w:r>
        <w:t xml:space="preserve">NIST SP</w:t>
      </w:r>
      <w:r>
        <w:t xml:space="preserve"> </w:t>
      </w:r>
      <w:r>
        <w:t xml:space="preserve">800-53 Rev 5 SC-8 and SC-8(1) apply at Moderate and High and are</w:t>
      </w:r>
      <w:r>
        <w:t xml:space="preserve"> </w:t>
      </w:r>
      <w:r>
        <w:t xml:space="preserve">mechanism-agnostic: SC-8(1)’s discussion names TLS and IPsec as coequal,</w:t>
      </w:r>
      <w:r>
        <w:t xml:space="preserve"> </w:t>
      </w:r>
      <w:r>
        <w:t xml:space="preserve">and SC-8 can be satisfied by physical means with no encryption at all.</w:t>
      </w:r>
      <w:r>
        <w:t xml:space="preserve"> </w:t>
      </w:r>
      <w:r>
        <w:t xml:space="preserve">The two controls that would require protection beyond the payload —</w:t>
      </w:r>
      <w:r>
        <w:t xml:space="preserve"> </w:t>
      </w:r>
      <w:r>
        <w:rPr>
          <w:b/>
          <w:bCs/>
        </w:rPr>
        <w:t xml:space="preserve">SC-8(3), covering message headers and routing metadata, and SC-8(4),</w:t>
      </w:r>
      <w:r>
        <w:rPr>
          <w:b/>
          <w:bCs/>
        </w:rPr>
        <w:t xml:space="preserve"> </w:t>
      </w:r>
      <w:r>
        <w:rPr>
          <w:b/>
          <w:bCs/>
        </w:rPr>
        <w:t xml:space="preserve">covering traffic-flow concealment — are in no baseline at any impact</w:t>
      </w:r>
      <w:r>
        <w:rPr>
          <w:b/>
          <w:bCs/>
        </w:rPr>
        <w:t xml:space="preserve"> </w:t>
      </w:r>
      <w:r>
        <w:rPr>
          <w:b/>
          <w:bCs/>
        </w:rPr>
        <w:t xml:space="preserve">level.</w:t>
      </w:r>
      <w:r>
        <w:t xml:space="preserve"> </w:t>
      </w:r>
      <w:r>
        <w:t xml:space="preserve">An agency whose branch traffic is TLS-protected end to end has</w:t>
      </w:r>
      <w:r>
        <w:t xml:space="preserve"> </w:t>
      </w:r>
      <w:r>
        <w:t xml:space="preserve">a defensible SC-8 implementation with no tunnel beneath it. (Section 4)</w:t>
      </w:r>
    </w:p>
    <w:p>
      <w:pPr>
        <w:pStyle w:val="BodyText"/>
      </w:pPr>
      <w:r>
        <w:rPr>
          <w:b/>
          <w:bCs/>
        </w:rPr>
        <w:t xml:space="preserve">Finding 4 — the encryption argument is genuinely load-bearing in</w:t>
      </w:r>
      <w:r>
        <w:rPr>
          <w:b/>
          <w:bCs/>
        </w:rPr>
        <w:t xml:space="preserve"> </w:t>
      </w:r>
      <w:r>
        <w:rPr>
          <w:b/>
          <w:bCs/>
        </w:rPr>
        <w:t xml:space="preserve">exactly one place: legacy cleartext protocols.</w:t>
      </w:r>
      <w:r>
        <w:t xml:space="preserve"> </w:t>
      </w:r>
      <w:r>
        <w:t xml:space="preserve">SC-8(1) attaches to the</w:t>
      </w:r>
      <w:r>
        <w:t xml:space="preserve"> </w:t>
      </w:r>
      <w:r>
        <w:t xml:space="preserve">information, not the protocol. Cleartext LDAP, SMB, FTP, telnet or</w:t>
      </w:r>
      <w:r>
        <w:t xml:space="preserve"> </w:t>
      </w:r>
      <w:r>
        <w:t xml:space="preserve">unencrypted database traffic crossing a branch WAN is an SC-8 exposure</w:t>
      </w:r>
      <w:r>
        <w:t xml:space="preserve"> </w:t>
      </w:r>
      <w:r>
        <w:t xml:space="preserve">regardless of transport, and for those flows an overlay is often the</w:t>
      </w:r>
      <w:r>
        <w:t xml:space="preserve"> </w:t>
      </w:r>
      <w:r>
        <w:t xml:space="preserve">only practical remedy. That is inventoriable and fixable now, without a</w:t>
      </w:r>
      <w:r>
        <w:t xml:space="preserve"> </w:t>
      </w:r>
      <w:r>
        <w:t xml:space="preserve">programme. (Section 4.4)</w:t>
      </w:r>
    </w:p>
    <w:p>
      <w:pPr>
        <w:pStyle w:val="BodyText"/>
      </w:pPr>
      <w:r>
        <w:rPr>
          <w:b/>
          <w:bCs/>
        </w:rPr>
        <w:t xml:space="preserve">Finding 5 — the timeline is long, but one directive is pulling a</w:t>
      </w:r>
      <w:r>
        <w:rPr>
          <w:b/>
          <w:bCs/>
        </w:rPr>
        <w:t xml:space="preserve"> </w:t>
      </w:r>
      <w:r>
        <w:rPr>
          <w:b/>
          <w:bCs/>
        </w:rPr>
        <w:t xml:space="preserve">piece of it forward.</w:t>
      </w:r>
      <w:r>
        <w:t xml:space="preserve"> </w:t>
      </w:r>
      <w:r>
        <w:t xml:space="preserve">BOD 26-02 requires end-of-support edge devices</w:t>
      </w:r>
      <w:r>
        <w:t xml:space="preserve"> </w:t>
      </w:r>
      <w:r>
        <w:t xml:space="preserve">off FCEB networks by August 2027. For agencies with ageing branch</w:t>
      </w:r>
      <w:r>
        <w:t xml:space="preserve"> </w:t>
      </w:r>
      <w:r>
        <w:t xml:space="preserve">routers, the refresh is happening on a directive clock whether or not an</w:t>
      </w:r>
      <w:r>
        <w:t xml:space="preserve"> </w:t>
      </w:r>
      <w:r>
        <w:t xml:space="preserve">SD-WAN programme is funded — and a refresh is precisely the moment a</w:t>
      </w:r>
      <w:r>
        <w:t xml:space="preserve"> </w:t>
      </w:r>
      <w:r>
        <w:t xml:space="preserve">branch architecture gets re-chosen. An agency that treats the two as</w:t>
      </w:r>
      <w:r>
        <w:t xml:space="preserve"> </w:t>
      </w:r>
      <w:r>
        <w:t xml:space="preserve">unrelated will buy like-for-like replacements and foreclose the</w:t>
      </w:r>
      <w:r>
        <w:t xml:space="preserve"> </w:t>
      </w:r>
      <w:r>
        <w:t xml:space="preserve">architecture question for another decade. (Section 5.2)</w:t>
      </w:r>
    </w:p>
    <w:p>
      <w:pPr>
        <w:pStyle w:val="BodyText"/>
      </w:pPr>
      <w:r>
        <w:rPr>
          <w:b/>
          <w:bCs/>
        </w:rPr>
        <w:t xml:space="preserve">Finding 6 — the attribution problem is real, partly documented,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composed claim is original.</w:t>
      </w:r>
      <w:r>
        <w:t xml:space="preserve"> </w:t>
      </w:r>
      <w:r>
        <w:t xml:space="preserve">Federal agencies demonstrably cannot</w:t>
      </w:r>
      <w:r>
        <w:t xml:space="preserve"> </w:t>
      </w:r>
      <w:r>
        <w:t xml:space="preserve">track cloud costs and savings consistently; transport requirements are</w:t>
      </w:r>
      <w:r>
        <w:t xml:space="preserve"> </w:t>
      </w:r>
      <w:r>
        <w:t xml:space="preserve">demonstrably not understood at migration time; and CISA has stated in</w:t>
      </w:r>
      <w:r>
        <w:t xml:space="preserve"> </w:t>
      </w:r>
      <w:r>
        <w:t xml:space="preserve">policy that transport constraints degraded performance and raised cost</w:t>
      </w:r>
      <w:r>
        <w:t xml:space="preserve"> </w:t>
      </w:r>
      <w:r>
        <w:t xml:space="preserve">in cloud contexts. What no source documents is the composed phenomenon</w:t>
      </w:r>
      <w:r>
        <w:t xml:space="preserve"> </w:t>
      </w:r>
      <w:r>
        <w:t xml:space="preserve">this paper calls</w:t>
      </w:r>
      <w:r>
        <w:t xml:space="preserve"> </w:t>
      </w:r>
      <w:r>
        <w:rPr>
          <w:b/>
          <w:bCs/>
        </w:rPr>
        <w:t xml:space="preserve">phase inversion</w:t>
      </w:r>
      <w:r>
        <w:t xml:space="preserve"> </w:t>
      </w:r>
      <w:r>
        <w:t xml:space="preserve">— transport-attributable cost</w:t>
      </w:r>
      <w:r>
        <w:t xml:space="preserve"> </w:t>
      </w:r>
      <w:r>
        <w:t xml:space="preserve">being systematically misattributed to cloud, driving remedies that raise</w:t>
      </w:r>
      <w:r>
        <w:t xml:space="preserve"> </w:t>
      </w:r>
      <w:r>
        <w:t xml:space="preserve">cloud spend. Section 8 sets out the evidence chain, labels the</w:t>
      </w:r>
      <w:r>
        <w:t xml:space="preserve"> </w:t>
      </w:r>
      <w:r>
        <w:t xml:space="preserve">inferential step as the author’s own, names the competing explanations a</w:t>
      </w:r>
      <w:r>
        <w:t xml:space="preserve"> </w:t>
      </w:r>
      <w:r>
        <w:t xml:space="preserve">reviewer will raise, and states what would falsify it. (Section 8)</w:t>
      </w:r>
    </w:p>
    <w:p>
      <w:pPr>
        <w:pStyle w:val="BodyText"/>
      </w:pPr>
      <w:r>
        <w:rPr>
          <w:b/>
          <w:bCs/>
        </w:rPr>
        <w:t xml:space="preserve">On numbers.</w:t>
      </w:r>
      <w:r>
        <w:t xml:space="preserve"> </w:t>
      </w:r>
      <w:r>
        <w:t xml:space="preserve">Section 2.7 covers cost. The finding there is partly</w:t>
      </w:r>
      <w:r>
        <w:t xml:space="preserve"> </w:t>
      </w:r>
      <w:r>
        <w:t xml:space="preserve">negative and worth stating up front:</w:t>
      </w:r>
      <w:r>
        <w:t xml:space="preserve"> </w:t>
      </w:r>
      <w:r>
        <w:rPr>
          <w:b/>
          <w:bCs/>
        </w:rPr>
        <w:t xml:space="preserve">GSA publishes no downloadable EIS</w:t>
      </w:r>
      <w:r>
        <w:rPr>
          <w:b/>
          <w:bCs/>
        </w:rPr>
        <w:t xml:space="preserve"> </w:t>
      </w:r>
      <w:r>
        <w:rPr>
          <w:b/>
          <w:bCs/>
        </w:rPr>
        <w:t xml:space="preserve">price list, MTIPS is priced on an individual case basis and is excluded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public pricer, GAO has never quantified realized EIS savings,</w:t>
      </w:r>
      <w:r>
        <w:rPr>
          <w:b/>
          <w:bCs/>
        </w:rPr>
        <w:t xml:space="preserve"> </w:t>
      </w:r>
      <w:r>
        <w:rPr>
          <w:b/>
          <w:bCs/>
        </w:rPr>
        <w:t xml:space="preserve">and no federal agency has published before-and-after SD-WAN cost</w:t>
      </w:r>
      <w:r>
        <w:rPr>
          <w:b/>
          <w:bCs/>
        </w:rPr>
        <w:t xml:space="preserve"> </w:t>
      </w:r>
      <w:r>
        <w:rPr>
          <w:b/>
          <w:bCs/>
        </w:rPr>
        <w:t xml:space="preserve">figures.</w:t>
      </w:r>
      <w:r>
        <w:t xml:space="preserve"> </w:t>
      </w:r>
      <w:r>
        <w:t xml:space="preserve">What exists is a cost</w:t>
      </w:r>
      <w:r>
        <w:t xml:space="preserve"> </w:t>
      </w:r>
      <w:r>
        <w:rPr>
          <w:i/>
          <w:iCs/>
        </w:rPr>
        <w:t xml:space="preserve">structure</w:t>
      </w:r>
      <w:r>
        <w:t xml:space="preserve">, a handful of real</w:t>
      </w:r>
      <w:r>
        <w:t xml:space="preserve"> </w:t>
      </w:r>
      <w:r>
        <w:t xml:space="preserve">government figures, and the observation that the widely repeated</w:t>
      </w:r>
      <w:r>
        <w:t xml:space="preserve"> </w:t>
      </w:r>
      <w:r>
        <w:t xml:space="preserve">MPLS-versus-broadband multiple comes almost entirely from parties</w:t>
      </w:r>
      <w:r>
        <w:t xml:space="preserve"> </w:t>
      </w:r>
      <w:r>
        <w:t xml:space="preserve">selling the alternative.</w:t>
      </w:r>
    </w:p>
    <w:bookmarkEnd w:id="10"/>
    <w:bookmarkStart w:id="18" w:name="the-alternatives-and-why-each-has-closed"/>
    <w:p>
      <w:pPr>
        <w:pStyle w:val="Heading1"/>
      </w:pPr>
      <w:r>
        <w:t xml:space="preserve">2. The alternatives, and why each has closed</w:t>
      </w:r>
    </w:p>
    <w:p>
      <w:pPr>
        <w:pStyle w:val="FirstParagraph"/>
      </w:pPr>
      <w:r>
        <w:t xml:space="preserve">The case for a branch-edge policy layer is usually made forward, from</w:t>
      </w:r>
      <w:r>
        <w:t xml:space="preserve"> </w:t>
      </w:r>
      <w:r>
        <w:t xml:space="preserve">its benefits. It is stronger made backward, from what is left.</w:t>
      </w:r>
    </w:p>
    <w:bookmarkStart w:id="11" w:name="X8520934664ef4c5fdd713f1bbe849d370000040"/>
    <w:p>
      <w:pPr>
        <w:pStyle w:val="Heading2"/>
      </w:pPr>
      <w:r>
        <w:t xml:space="preserve">2.1 The legacy transport vehicles have expired</w:t>
      </w:r>
    </w:p>
    <w:p>
      <w:pPr>
        <w:pStyle w:val="FirstParagraph"/>
      </w:pPr>
      <w:r>
        <w:rPr>
          <w:b/>
          <w:bCs/>
        </w:rPr>
        <w:t xml:space="preserve">Networx expired 31 May 2026. WITS 3 expired 28 February 2026.</w:t>
      </w:r>
      <w:r>
        <w:t xml:space="preserve"> </w:t>
      </w:r>
      <w:r>
        <w:t xml:space="preserve">Local</w:t>
      </w:r>
      <w:r>
        <w:t xml:space="preserve"> </w:t>
      </w:r>
      <w:r>
        <w:t xml:space="preserve">telecommunications service contracts expired across 2025 and 2026. As of</w:t>
      </w:r>
      <w:r>
        <w:t xml:space="preserve"> </w:t>
      </w:r>
      <w:r>
        <w:t xml:space="preserve">31 July 2026, 214 agencies had completed transition to Enterprise</w:t>
      </w:r>
      <w:r>
        <w:t xml:space="preserve"> </w:t>
      </w:r>
      <w:r>
        <w:t xml:space="preserve">Infrastructure Solutions, whose first option period runs to 31 July 2027</w:t>
      </w:r>
      <w:r>
        <w:t xml:space="preserve"> </w:t>
      </w:r>
      <w:r>
        <w:t xml:space="preserve">and whose second to 30 July 2032.</w:t>
      </w:r>
    </w:p>
    <w:p>
      <w:pPr>
        <w:pStyle w:val="BodyText"/>
      </w:pPr>
      <w:r>
        <w:t xml:space="preserve">MTIPS remains orderable under EIS, so this does not eliminate managed</w:t>
      </w:r>
      <w:r>
        <w:t xml:space="preserve"> </w:t>
      </w:r>
      <w:r>
        <w:t xml:space="preserve">TIC services. What it means is that every agency has already been</w:t>
      </w:r>
      <w:r>
        <w:t xml:space="preserve"> </w:t>
      </w:r>
      <w:r>
        <w:t xml:space="preserve">through a transition decision, and the architecture is now a task-order</w:t>
      </w:r>
      <w:r>
        <w:t xml:space="preserve"> </w:t>
      </w:r>
      <w:r>
        <w:t xml:space="preserve">question rather than a contract-vehicle question. An agency that</w:t>
      </w:r>
      <w:r>
        <w:t xml:space="preserve"> </w:t>
      </w:r>
      <w:r>
        <w:t xml:space="preserve">intended to defer the decision until its vehicle changed has run out of</w:t>
      </w:r>
      <w:r>
        <w:t xml:space="preserve"> </w:t>
      </w:r>
      <w:r>
        <w:t xml:space="preserve">deferral. Note also that GSA’s own EIS service list does not name SD-WAN</w:t>
      </w:r>
      <w:r>
        <w:t xml:space="preserve"> </w:t>
      </w:r>
      <w:r>
        <w:t xml:space="preserve">as a service — agencies buy it through Managed Network Service or VPNS</w:t>
      </w:r>
      <w:r>
        <w:t xml:space="preserve"> </w:t>
      </w:r>
      <w:r>
        <w:t xml:space="preserve">constructs, which is a scoping detail worth settling early.</w:t>
      </w:r>
    </w:p>
    <w:bookmarkEnd w:id="11"/>
    <w:bookmarkStart w:id="12" w:name="X56236d28aca276ea303d61823aef8b53b7a36e2"/>
    <w:p>
      <w:pPr>
        <w:pStyle w:val="Heading2"/>
      </w:pPr>
      <w:r>
        <w:t xml:space="preserve">2.2 The hairpin model is what policy moved away from</w:t>
      </w:r>
    </w:p>
    <w:p>
      <w:pPr>
        <w:pStyle w:val="FirstParagraph"/>
      </w:pPr>
      <w:r>
        <w:t xml:space="preserve">OMB M-19-26 (12 September 2019) rescinded M-08-05 and replaced</w:t>
      </w:r>
      <w:r>
        <w:t xml:space="preserve"> </w:t>
      </w:r>
      <w:r>
        <w:t xml:space="preserve">physical-routing compliance with capability-based compliance. Agencies</w:t>
      </w:r>
      <w:r>
        <w:t xml:space="preserve"> </w:t>
      </w:r>
      <w:r>
        <w:t xml:space="preserve">are no longer required to route all traffic through a traditional access</w:t>
      </w:r>
      <w:r>
        <w:t xml:space="preserve"> </w:t>
      </w:r>
      <w:r>
        <w:t xml:space="preserve">point, provided they implement approved use cases maintaining the</w:t>
      </w:r>
      <w:r>
        <w:t xml:space="preserve"> </w:t>
      </w:r>
      <w:r>
        <w:t xml:space="preserve">required capabilities and share telemetry with CISA.</w:t>
      </w:r>
    </w:p>
    <w:p>
      <w:pPr>
        <w:pStyle w:val="BodyText"/>
      </w:pPr>
      <w:r>
        <w:t xml:space="preserve">CISA’s own account of why is unusually direct, and it is the single most</w:t>
      </w:r>
      <w:r>
        <w:t xml:space="preserve"> </w:t>
      </w:r>
      <w:r>
        <w:t xml:space="preserve">useful federal sentence in this paper. From the TIC 3.0 Program</w:t>
      </w:r>
      <w:r>
        <w:t xml:space="preserve"> </w:t>
      </w:r>
      <w:r>
        <w:t xml:space="preserve">Guidebook:</w:t>
      </w:r>
    </w:p>
    <w:p>
      <w:pPr>
        <w:pStyle w:val="BlockText"/>
      </w:pPr>
      <w:r>
        <w:t xml:space="preserve">“Over time, greater bandwidth demands, transport encryption, and</w:t>
      </w:r>
      <w:r>
        <w:t xml:space="preserve"> </w:t>
      </w:r>
      <w:r>
        <w:t xml:space="preserve">perimeter services were placed on agency TICs beyond their ability to</w:t>
      </w:r>
      <w:r>
        <w:t xml:space="preserve"> </w:t>
      </w:r>
      <w:r>
        <w:t xml:space="preserve">scale. The growing demands on the enterprise perimeter and degraded</w:t>
      </w:r>
      <w:r>
        <w:t xml:space="preserve"> </w:t>
      </w:r>
      <w:r>
        <w:t xml:space="preserve">performance increased the cost and decreased the effectiveness of the</w:t>
      </w:r>
      <w:r>
        <w:t xml:space="preserve"> </w:t>
      </w:r>
      <w:r>
        <w:t xml:space="preserve">TIC initiative when using cloud services.”</w:t>
      </w:r>
    </w:p>
    <w:p>
      <w:pPr>
        <w:pStyle w:val="FirstParagraph"/>
      </w:pPr>
      <w:r>
        <w:t xml:space="preserve">That is the government stating in policy that transport constraints</w:t>
      </w:r>
      <w:r>
        <w:t xml:space="preserve"> </w:t>
      </w:r>
      <w:r>
        <w:t xml:space="preserve">degraded performance and raised cost specifically in the context of</w:t>
      </w:r>
      <w:r>
        <w:t xml:space="preserve"> </w:t>
      </w:r>
      <w:r>
        <w:t xml:space="preserve">cloud services. The hairpin architecture remains permitted and an agency</w:t>
      </w:r>
      <w:r>
        <w:t xml:space="preserve"> </w:t>
      </w:r>
      <w:r>
        <w:t xml:space="preserve">running it is not out of compliance. It is now the expensive option</w:t>
      </w:r>
      <w:r>
        <w:t xml:space="preserve"> </w:t>
      </w:r>
      <w:r>
        <w:t xml:space="preserve">defended on its own merits.</w:t>
      </w:r>
    </w:p>
    <w:bookmarkEnd w:id="12"/>
    <w:bookmarkStart w:id="13" w:name="Xfd2d765fd8ac824f12b43b07b8684d5060939f9"/>
    <w:p>
      <w:pPr>
        <w:pStyle w:val="Heading2"/>
      </w:pPr>
      <w:r>
        <w:t xml:space="preserve">2.3 Agency-operated access points are a capital and staffing commitment</w:t>
      </w:r>
    </w:p>
    <w:p>
      <w:pPr>
        <w:pStyle w:val="FirstParagraph"/>
      </w:pPr>
      <w:r>
        <w:t xml:space="preserve">Standing up or expanding an agency-operated TIC access point remains</w:t>
      </w:r>
      <w:r>
        <w:t xml:space="preserve"> </w:t>
      </w:r>
      <w:r>
        <w:t xml:space="preserve">available. It requires capital, floor space, a refresh cycle, and staff</w:t>
      </w:r>
      <w:r>
        <w:t xml:space="preserve"> </w:t>
      </w:r>
      <w:r>
        <w:t xml:space="preserve">to operate an inspection stack around the clock. For an agency that</w:t>
      </w:r>
      <w:r>
        <w:t xml:space="preserve"> </w:t>
      </w:r>
      <w:r>
        <w:t xml:space="preserve">already has one, continuing is rational. For an agency that does not,</w:t>
      </w:r>
      <w:r>
        <w:t xml:space="preserve"> </w:t>
      </w:r>
      <w:r>
        <w:t xml:space="preserve">building one in 2026 to serve cloud-bound branch traffic has to be</w:t>
      </w:r>
      <w:r>
        <w:t xml:space="preserve"> </w:t>
      </w:r>
      <w:r>
        <w:t xml:space="preserve">defended against every alternative in this section, and few agencies are</w:t>
      </w:r>
      <w:r>
        <w:t xml:space="preserve"> </w:t>
      </w:r>
      <w:r>
        <w:t xml:space="preserve">making that case.</w:t>
      </w:r>
    </w:p>
    <w:bookmarkEnd w:id="13"/>
    <w:bookmarkStart w:id="14" w:name="X7fd32328f49e756a77250b2e16398bec54f8aa7"/>
    <w:p>
      <w:pPr>
        <w:pStyle w:val="Heading2"/>
      </w:pPr>
      <w:r>
        <w:t xml:space="preserve">2.4 VPN backhaul is a hairpin under another name</w:t>
      </w:r>
    </w:p>
    <w:p>
      <w:pPr>
        <w:pStyle w:val="FirstParagraph"/>
      </w:pPr>
      <w:r>
        <w:t xml:space="preserve">Backhauling branch traffic to a datacenter over IPsec and egressing</w:t>
      </w:r>
      <w:r>
        <w:t xml:space="preserve"> </w:t>
      </w:r>
      <w:r>
        <w:t xml:space="preserve">there still works and is still widely deployed. It is also a hairpin: it</w:t>
      </w:r>
      <w:r>
        <w:t xml:space="preserve"> </w:t>
      </w:r>
      <w:r>
        <w:t xml:space="preserve">adds the datacenter round trip to every cloud interaction, concentrates</w:t>
      </w:r>
      <w:r>
        <w:t xml:space="preserve"> </w:t>
      </w:r>
      <w:r>
        <w:t xml:space="preserve">capacity at the aggregation point, and gives the branch none of the</w:t>
      </w:r>
      <w:r>
        <w:t xml:space="preserve"> </w:t>
      </w:r>
      <w:r>
        <w:t xml:space="preserve">properties in Section 2.6. Where it persists, it usually persists</w:t>
      </w:r>
      <w:r>
        <w:t xml:space="preserve"> </w:t>
      </w:r>
      <w:r>
        <w:t xml:space="preserve">because the concentrator is already paid for.</w:t>
      </w:r>
    </w:p>
    <w:bookmarkEnd w:id="14"/>
    <w:bookmarkStart w:id="15" w:name="X3bacab935d0d9529196d9c0dd9be9944fed0dfa"/>
    <w:p>
      <w:pPr>
        <w:pStyle w:val="Heading2"/>
      </w:pPr>
      <w:r>
        <w:t xml:space="preserve">2.5 Cloud-provider private connectivity solves less than agencies assume</w:t>
      </w:r>
    </w:p>
    <w:p>
      <w:pPr>
        <w:pStyle w:val="FirstParagraph"/>
      </w:pPr>
      <w:r>
        <w:t xml:space="preserve">Dedicated private connectivity into a cloud provider — the</w:t>
      </w:r>
      <w:r>
        <w:t xml:space="preserve"> </w:t>
      </w:r>
      <w:r>
        <w:t xml:space="preserve">ExpressRoute and Direct Connect family — is genuinely good for what it</w:t>
      </w:r>
      <w:r>
        <w:t xml:space="preserve"> </w:t>
      </w:r>
      <w:r>
        <w:t xml:space="preserve">covers: traffic between agency infrastructure and that provider’s</w:t>
      </w:r>
      <w:r>
        <w:t xml:space="preserve"> </w:t>
      </w:r>
      <w:r>
        <w:t xml:space="preserve">regions. It does not cover SaaS in general, does not cover the open</w:t>
      </w:r>
      <w:r>
        <w:t xml:space="preserve"> </w:t>
      </w:r>
      <w:r>
        <w:t xml:space="preserve">internet, does not cover a second provider, and does not govern anything</w:t>
      </w:r>
      <w:r>
        <w:t xml:space="preserve"> </w:t>
      </w:r>
      <w:r>
        <w:t xml:space="preserve">at the branch. Microsoft’s own diagram caption makes the last point for</w:t>
      </w:r>
      <w:r>
        <w:t xml:space="preserve"> </w:t>
      </w:r>
      <w:r>
        <w:t xml:space="preserve">them:</w:t>
      </w:r>
      <w:r>
        <w:t xml:space="preserve"> </w:t>
      </w:r>
      <w:r>
        <w:rPr>
          <w:i/>
          <w:iCs/>
        </w:rPr>
        <w:t xml:space="preserve">“the customer’s users who aren’t located in their ExpressRoute</w:t>
      </w:r>
      <w:r>
        <w:rPr>
          <w:i/>
          <w:iCs/>
        </w:rPr>
        <w:t xml:space="preserve"> </w:t>
      </w:r>
      <w:r>
        <w:rPr>
          <w:i/>
          <w:iCs/>
        </w:rPr>
        <w:t xml:space="preserve">connected building are connecting over the Internet.”</w:t>
      </w:r>
    </w:p>
    <w:p>
      <w:pPr>
        <w:pStyle w:val="BodyText"/>
      </w:pPr>
      <w:r>
        <w:rPr>
          <w:b/>
          <w:bCs/>
        </w:rPr>
        <w:t xml:space="preserve">Microsoft 365 deserves separate treatment, because a large number of</w:t>
      </w:r>
      <w:r>
        <w:rPr>
          <w:b/>
          <w:bCs/>
        </w:rPr>
        <w:t xml:space="preserve"> </w:t>
      </w:r>
      <w:r>
        <w:rPr>
          <w:b/>
          <w:bCs/>
        </w:rPr>
        <w:t xml:space="preserve">agencies were approved for ExpressRoute for Office 365 between roughly</w:t>
      </w:r>
      <w:r>
        <w:rPr>
          <w:b/>
          <w:bCs/>
        </w:rPr>
        <w:t xml:space="preserve"> </w:t>
      </w:r>
      <w:r>
        <w:rPr>
          <w:b/>
          <w:bCs/>
        </w:rPr>
        <w:t xml:space="preserve">2015 and 2018 and have not revisited it since.</w:t>
      </w:r>
      <w:r>
        <w:t xml:space="preserve"> </w:t>
      </w:r>
      <w:r>
        <w:t xml:space="preserve">An authorization</w:t>
      </w:r>
      <w:r>
        <w:t xml:space="preserve"> </w:t>
      </w:r>
      <w:r>
        <w:t xml:space="preserve">granted then does not survive as a statement of current Microsoft</w:t>
      </w:r>
      <w:r>
        <w:t xml:space="preserve"> </w:t>
      </w:r>
      <w:r>
        <w:t xml:space="preserve">guidance, and five things have changed underneath it.</w:t>
      </w:r>
    </w:p>
    <w:p>
      <w:pPr>
        <w:pStyle w:val="BodyText"/>
      </w:pPr>
      <w:r>
        <w:rPr>
          <w:b/>
          <w:bCs/>
        </w:rPr>
        <w:t xml:space="preserve">First, Microsoft now recommends against it.</w:t>
      </w:r>
      <w:r>
        <w:t xml:space="preserve"> </w:t>
      </w:r>
      <w:r>
        <w:t xml:space="preserve">The Azure documentation</w:t>
      </w:r>
      <w:r>
        <w:t xml:space="preserve"> </w:t>
      </w:r>
      <w:r>
        <w:t xml:space="preserve">is blunt — the section headed</w:t>
      </w:r>
      <w:r>
        <w:t xml:space="preserve"> </w:t>
      </w:r>
      <w:r>
        <w:t xml:space="preserve">“When to use ExpressRoute for Microsoft</w:t>
      </w:r>
      <w:r>
        <w:t xml:space="preserve"> </w:t>
      </w:r>
      <w:r>
        <w:t xml:space="preserve">365?”</w:t>
      </w:r>
      <w:r>
        <w:t xml:space="preserve"> </w:t>
      </w:r>
      <w:r>
        <w:t xml:space="preserve">consists in its entirety of the sentence</w:t>
      </w:r>
      <w:r>
        <w:t xml:space="preserve"> </w:t>
      </w:r>
      <w:r>
        <w:rPr>
          <w:i/>
          <w:iCs/>
        </w:rPr>
        <w:t xml:space="preserve">“We no longer recommend</w:t>
      </w:r>
      <w:r>
        <w:rPr>
          <w:i/>
          <w:iCs/>
        </w:rPr>
        <w:t xml:space="preserve"> </w:t>
      </w:r>
      <w:r>
        <w:rPr>
          <w:i/>
          <w:iCs/>
        </w:rPr>
        <w:t xml:space="preserve">the use of ExpressRoute for Microsoft 365 traffic.”</w:t>
      </w:r>
      <w:r>
        <w:t xml:space="preserve"> </w:t>
      </w:r>
      <w:r>
        <w:t xml:space="preserve">That heading</w:t>
      </w:r>
      <w:r>
        <w:t xml:space="preserve"> </w:t>
      </w:r>
      <w:r>
        <w:t xml:space="preserve">previously enumerated qualifying scenarios. The Microsoft 365</w:t>
      </w:r>
      <w:r>
        <w:t xml:space="preserve"> </w:t>
      </w:r>
      <w:r>
        <w:t xml:space="preserve">documentation is longer but says the same thing:</w:t>
      </w:r>
      <w:r>
        <w:t xml:space="preserve"> </w:t>
      </w:r>
      <w:r>
        <w:rPr>
          <w:i/>
          <w:iCs/>
        </w:rPr>
        <w:t xml:space="preserve">“We do not recommend</w:t>
      </w:r>
      <w:r>
        <w:rPr>
          <w:i/>
          <w:iCs/>
        </w:rPr>
        <w:t xml:space="preserve"> </w:t>
      </w:r>
      <w:r>
        <w:rPr>
          <w:i/>
          <w:iCs/>
        </w:rPr>
        <w:t xml:space="preserve">ExpressRoute for Microsoft 365 because it doesn’t provide the best</w:t>
      </w:r>
      <w:r>
        <w:rPr>
          <w:i/>
          <w:iCs/>
        </w:rPr>
        <w:t xml:space="preserve"> </w:t>
      </w:r>
      <w:r>
        <w:rPr>
          <w:i/>
          <w:iCs/>
        </w:rPr>
        <w:t xml:space="preserve">connectivity model for the service in most circumstances. As such,</w:t>
      </w:r>
      <w:r>
        <w:rPr>
          <w:i/>
          <w:iCs/>
        </w:rPr>
        <w:t xml:space="preserve"> </w:t>
      </w:r>
      <w:r>
        <w:rPr>
          <w:i/>
          <w:iCs/>
        </w:rPr>
        <w:t xml:space="preserve">Microsoft authorization is required to use this connectivity model. We</w:t>
      </w:r>
      <w:r>
        <w:rPr>
          <w:i/>
          <w:iCs/>
        </w:rPr>
        <w:t xml:space="preserve"> </w:t>
      </w:r>
      <w:r>
        <w:rPr>
          <w:i/>
          <w:iCs/>
        </w:rPr>
        <w:t xml:space="preserve">review every customer request and authorize ExpressRoute for Microsoft</w:t>
      </w:r>
      <w:r>
        <w:rPr>
          <w:i/>
          <w:iCs/>
        </w:rPr>
        <w:t xml:space="preserve"> </w:t>
      </w:r>
      <w:r>
        <w:rPr>
          <w:i/>
          <w:iCs/>
        </w:rPr>
        <w:t xml:space="preserve">365 only in the rare scenarios where it’s necessary.”</w:t>
      </w:r>
    </w:p>
    <w:p>
      <w:pPr>
        <w:pStyle w:val="BodyText"/>
      </w:pPr>
      <w:r>
        <w:rPr>
          <w:b/>
          <w:bCs/>
        </w:rPr>
        <w:t xml:space="preserve">Second, ExpressRoute has disappeared entirely from Microsoft’s</w:t>
      </w:r>
      <w:r>
        <w:rPr>
          <w:b/>
          <w:bCs/>
        </w:rPr>
        <w:t xml:space="preserve"> </w:t>
      </w:r>
      <w:r>
        <w:rPr>
          <w:b/>
          <w:bCs/>
        </w:rPr>
        <w:t xml:space="preserve">canonical network guidance.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Microsoft 365 network connectivity</w:t>
      </w:r>
      <w:r>
        <w:rPr>
          <w:i/>
          <w:iCs/>
        </w:rPr>
        <w:t xml:space="preserve"> </w:t>
      </w:r>
      <w:r>
        <w:rPr>
          <w:i/>
          <w:iCs/>
        </w:rPr>
        <w:t xml:space="preserve">principles</w:t>
      </w:r>
      <w:r>
        <w:t xml:space="preserve"> </w:t>
      </w:r>
      <w:r>
        <w:t xml:space="preserve">page — Microsoft’s flagship article on this subject,</w:t>
      </w:r>
      <w:r>
        <w:t xml:space="preserve"> </w:t>
      </w:r>
      <w:r>
        <w:t xml:space="preserve">refreshed August 2026 — does not contain the word</w:t>
      </w:r>
      <w:r>
        <w:t xml:space="preserve"> </w:t>
      </w:r>
      <w:r>
        <w:t xml:space="preserve">“ExpressRoute”</w:t>
      </w:r>
      <w:r>
        <w:t xml:space="preserve"> </w:t>
      </w:r>
      <w:r>
        <w:t xml:space="preserve">anywhere. Its recommendation runs the other way:</w:t>
      </w:r>
      <w:r>
        <w:t xml:space="preserve"> </w:t>
      </w:r>
      <w:r>
        <w:rPr>
          <w:i/>
          <w:iCs/>
        </w:rPr>
        <w:t xml:space="preserve">“Direct internet</w:t>
      </w:r>
      <w:r>
        <w:rPr>
          <w:i/>
          <w:iCs/>
        </w:rPr>
        <w:t xml:space="preserve"> </w:t>
      </w:r>
      <w:r>
        <w:rPr>
          <w:i/>
          <w:iCs/>
        </w:rPr>
        <w:t xml:space="preserve">access should be prioritized for the Microsoft 365 domains by reducing</w:t>
      </w:r>
      <w:r>
        <w:rPr>
          <w:i/>
          <w:iCs/>
        </w:rPr>
        <w:t xml:space="preserve"> </w:t>
      </w:r>
      <w:r>
        <w:rPr>
          <w:i/>
          <w:iCs/>
        </w:rPr>
        <w:t xml:space="preserve">reliance on wide area network (WAN) backhauling, avoiding network</w:t>
      </w:r>
      <w:r>
        <w:rPr>
          <w:i/>
          <w:iCs/>
        </w:rPr>
        <w:t xml:space="preserve"> </w:t>
      </w:r>
      <w:r>
        <w:rPr>
          <w:i/>
          <w:iCs/>
        </w:rPr>
        <w:t xml:space="preserve">hairpins, and enabling a more efficient internet egress local to the</w:t>
      </w:r>
      <w:r>
        <w:rPr>
          <w:i/>
          <w:iCs/>
        </w:rPr>
        <w:t xml:space="preserve"> </w:t>
      </w:r>
      <w:r>
        <w:rPr>
          <w:i/>
          <w:iCs/>
        </w:rPr>
        <w:t xml:space="preserve">users and directly to the Microsoft network.”</w:t>
      </w:r>
      <w:r>
        <w:t xml:space="preserve"> </w:t>
      </w:r>
      <w:r>
        <w:t xml:space="preserve">Where that page lists</w:t>
      </w:r>
      <w:r>
        <w:t xml:space="preserve"> </w:t>
      </w:r>
      <w:r>
        <w:t xml:space="preserve">incremental optimization methods, SD-WAN appears and ExpressRoute does</w:t>
      </w:r>
      <w:r>
        <w:t xml:space="preserve"> </w:t>
      </w:r>
      <w:r>
        <w:t xml:space="preserve">not:</w:t>
      </w:r>
      <w:r>
        <w:t xml:space="preserve"> </w:t>
      </w:r>
      <w:r>
        <w:rPr>
          <w:i/>
          <w:iCs/>
        </w:rPr>
        <w:t xml:space="preserve">“The easiest way to choose which network requests to trust is to</w:t>
      </w:r>
      <w:r>
        <w:rPr>
          <w:i/>
          <w:iCs/>
        </w:rPr>
        <w:t xml:space="preserve"> </w:t>
      </w:r>
      <w:r>
        <w:rPr>
          <w:i/>
          <w:iCs/>
        </w:rPr>
        <w:t xml:space="preserve">use SD-WAN devices that support automated Microsoft 365 configuration at</w:t>
      </w:r>
      <w:r>
        <w:rPr>
          <w:i/>
          <w:iCs/>
        </w:rPr>
        <w:t xml:space="preserve"> </w:t>
      </w:r>
      <w:r>
        <w:rPr>
          <w:i/>
          <w:iCs/>
        </w:rPr>
        <w:t xml:space="preserve">each of your office locations.”</w:t>
      </w:r>
    </w:p>
    <w:p>
      <w:pPr>
        <w:pStyle w:val="BodyText"/>
      </w:pPr>
      <w:r>
        <w:rPr>
          <w:b/>
          <w:bCs/>
        </w:rPr>
        <w:t xml:space="preserve">Third — and this is the hard technical limit rather than a</w:t>
      </w:r>
      <w:r>
        <w:rPr>
          <w:b/>
          <w:bCs/>
        </w:rPr>
        <w:t xml:space="preserve"> </w:t>
      </w:r>
      <w:r>
        <w:rPr>
          <w:b/>
          <w:bCs/>
        </w:rPr>
        <w:t xml:space="preserve">preference — ExpressRoute cannot carry all Microsoft 365 traffic, and</w:t>
      </w:r>
      <w:r>
        <w:rPr>
          <w:b/>
          <w:bCs/>
        </w:rPr>
        <w:t xml:space="preserve"> </w:t>
      </w:r>
      <w:r>
        <w:rPr>
          <w:b/>
          <w:bCs/>
        </w:rPr>
        <w:t xml:space="preserve">never could.</w:t>
      </w:r>
      <w:r>
        <w:t xml:space="preserve"> </w:t>
      </w:r>
      <w:r>
        <w:t xml:space="preserve">Microsoft states it plainly:</w:t>
      </w:r>
      <w:r>
        <w:t xml:space="preserve"> </w:t>
      </w:r>
      <w:r>
        <w:rPr>
          <w:i/>
          <w:iCs/>
        </w:rPr>
        <w:t xml:space="preserve">“Some Microsoft 365 traffic</w:t>
      </w:r>
      <w:r>
        <w:rPr>
          <w:i/>
          <w:iCs/>
        </w:rPr>
        <w:t xml:space="preserve"> </w:t>
      </w:r>
      <w:r>
        <w:rPr>
          <w:i/>
          <w:iCs/>
        </w:rPr>
        <w:t xml:space="preserve">can only be routed through the Internet.”</w:t>
      </w:r>
      <w:r>
        <w:t xml:space="preserve"> </w:t>
      </w:r>
      <w:r>
        <w:t xml:space="preserve">The reason is structural.</w:t>
      </w:r>
      <w:r>
        <w:t xml:space="preserve"> </w:t>
      </w:r>
      <w:r>
        <w:t xml:space="preserve">Route filters advertise IP prefixes; Default-category endpoints have no</w:t>
      </w:r>
      <w:r>
        <w:t xml:space="preserve"> </w:t>
      </w:r>
      <w:r>
        <w:t xml:space="preserve">published IP addresses because they change. In the current Worldwide</w:t>
      </w:r>
      <w:r>
        <w:t xml:space="preserve"> </w:t>
      </w:r>
      <w:r>
        <w:t xml:space="preserve">endpoint list, roughly seven endpoint sets are marked ER=Yes against</w:t>
      </w:r>
      <w:r>
        <w:t xml:space="preserve"> </w:t>
      </w:r>
      <w:r>
        <w:t xml:space="preserve">roughly forty marked ER=No. Among the ER=No sets are</w:t>
      </w:r>
      <w:r>
        <w:t xml:space="preserve"> </w:t>
      </w:r>
      <w:r>
        <w:rPr>
          <w:b/>
          <w:bCs/>
        </w:rPr>
        <w:t xml:space="preserve">certificate</w:t>
      </w:r>
      <w:r>
        <w:rPr>
          <w:b/>
          <w:bCs/>
        </w:rPr>
        <w:t xml:space="preserve"> </w:t>
      </w:r>
      <w:r>
        <w:rPr>
          <w:b/>
          <w:bCs/>
        </w:rPr>
        <w:t xml:space="preserve">revocation</w:t>
      </w:r>
      <w:r>
        <w:t xml:space="preserve"> </w:t>
      </w:r>
      <w:r>
        <w:t xml:space="preserve">endpoints, marked Required; Office client downloads and</w:t>
      </w:r>
      <w:r>
        <w:t xml:space="preserve"> </w:t>
      </w:r>
      <w:r>
        <w:t xml:space="preserve">redirects, marked Required; secondary authentication and device</w:t>
      </w:r>
      <w:r>
        <w:t xml:space="preserve"> </w:t>
      </w:r>
      <w:r>
        <w:t xml:space="preserve">registration endpoints including</w:t>
      </w:r>
      <w:r>
        <w:t xml:space="preserve"> </w:t>
      </w:r>
      <w:r>
        <w:rPr>
          <w:rStyle w:val="VerbatimChar"/>
        </w:rPr>
        <w:t xml:space="preserve">enterpriseregistration.windows.net</w:t>
      </w:r>
      <w:r>
        <w:t xml:space="preserve">,</w:t>
      </w:r>
      <w:r>
        <w:t xml:space="preserve"> </w:t>
      </w:r>
      <w:r>
        <w:t xml:space="preserve">marked Required; content delivery networks; telemetry; and Outlook</w:t>
      </w:r>
      <w:r>
        <w:t xml:space="preserve"> </w:t>
      </w:r>
      <w:r>
        <w:t xml:space="preserve">mobile. Microsoft is explicit that</w:t>
      </w:r>
      <w:r>
        <w:t xml:space="preserve"> </w:t>
      </w:r>
      <w:r>
        <w:rPr>
          <w:i/>
          <w:iCs/>
        </w:rPr>
        <w:t xml:space="preserve">“Regardless of how you manage vital</w:t>
      </w:r>
      <w:r>
        <w:rPr>
          <w:i/>
          <w:iCs/>
        </w:rPr>
        <w:t xml:space="preserve"> </w:t>
      </w:r>
      <w:r>
        <w:rPr>
          <w:i/>
          <w:iCs/>
        </w:rPr>
        <w:t xml:space="preserve">Microsoft 365 network traffic, Microsoft 365 requires Internet</w:t>
      </w:r>
      <w:r>
        <w:rPr>
          <w:i/>
          <w:iCs/>
        </w:rPr>
        <w:t xml:space="preserve"> </w:t>
      </w:r>
      <w:r>
        <w:rPr>
          <w:i/>
          <w:iCs/>
        </w:rPr>
        <w:t xml:space="preserve">connectivity.”</w:t>
      </w:r>
      <w:r>
        <w:t xml:space="preserve"> </w:t>
      </w:r>
      <w:r>
        <w:t xml:space="preserve">An ExpressRoute circuit can never be an agency’s sole</w:t>
      </w:r>
      <w:r>
        <w:t xml:space="preserve"> </w:t>
      </w:r>
      <w:r>
        <w:t xml:space="preserve">path to Microsoft 365. A compliant internet egress path is mandatory</w:t>
      </w:r>
      <w:r>
        <w:t xml:space="preserve"> </w:t>
      </w:r>
      <w:r>
        <w:t xml:space="preserve">alongside it, which means the branch-edge question is not avoided by</w:t>
      </w:r>
      <w:r>
        <w:t xml:space="preserve"> </w:t>
      </w:r>
      <w:r>
        <w:t xml:space="preserve">having a circuit.</w:t>
      </w:r>
    </w:p>
    <w:p>
      <w:pPr>
        <w:pStyle w:val="BodyText"/>
      </w:pPr>
      <w:r>
        <w:rPr>
          <w:b/>
          <w:bCs/>
        </w:rPr>
        <w:t xml:space="preserve">Fourth, the authorization gate is real and enforced in the Azure</w:t>
      </w:r>
      <w:r>
        <w:rPr>
          <w:b/>
          <w:bCs/>
        </w:rPr>
        <w:t xml:space="preserve"> </w:t>
      </w:r>
      <w:r>
        <w:rPr>
          <w:b/>
          <w:bCs/>
        </w:rPr>
        <w:t xml:space="preserve">control plane</w:t>
      </w:r>
      <w:r>
        <w:t xml:space="preserve"> </w:t>
      </w:r>
      <w:r>
        <w:t xml:space="preserve">— an unauthorized subscription attempting to create</w:t>
      </w:r>
      <w:r>
        <w:t xml:space="preserve"> </w:t>
      </w:r>
      <w:r>
        <w:t xml:space="preserve">Office 365 route filters receives an explicit error. But there is a</w:t>
      </w:r>
      <w:r>
        <w:t xml:space="preserve"> </w:t>
      </w:r>
      <w:r>
        <w:t xml:space="preserve">grandfathering clause that matters directly to this cohort:</w:t>
      </w:r>
      <w:r>
        <w:t xml:space="preserve"> </w:t>
      </w:r>
      <w:r>
        <w:rPr>
          <w:i/>
          <w:iCs/>
        </w:rPr>
        <w:t xml:space="preserve">“Microsoft</w:t>
      </w:r>
      <w:r>
        <w:rPr>
          <w:i/>
          <w:iCs/>
        </w:rPr>
        <w:t xml:space="preserve"> </w:t>
      </w:r>
      <w:r>
        <w:rPr>
          <w:i/>
          <w:iCs/>
        </w:rPr>
        <w:t xml:space="preserve">peering of ExpressRoute circuits configured before August 1, 2017, will</w:t>
      </w:r>
      <w:r>
        <w:rPr>
          <w:i/>
          <w:iCs/>
        </w:rPr>
        <w:t xml:space="preserve"> </w:t>
      </w:r>
      <w:r>
        <w:rPr>
          <w:i/>
          <w:iCs/>
        </w:rPr>
        <w:t xml:space="preserve">have all Microsoft Office service prefixes advertised through Microsoft</w:t>
      </w:r>
      <w:r>
        <w:rPr>
          <w:i/>
          <w:iCs/>
        </w:rPr>
        <w:t xml:space="preserve"> </w:t>
      </w:r>
      <w:r>
        <w:rPr>
          <w:i/>
          <w:iCs/>
        </w:rPr>
        <w:t xml:space="preserve">peering, even without route filters.”</w:t>
      </w:r>
      <w:r>
        <w:t xml:space="preserve"> </w:t>
      </w:r>
      <w:r>
        <w:t xml:space="preserve">An agency with a pre-August-2017</w:t>
      </w:r>
      <w:r>
        <w:t xml:space="preserve"> </w:t>
      </w:r>
      <w:r>
        <w:t xml:space="preserve">circuit may still be advertising Office 365 prefixes today with no route</w:t>
      </w:r>
      <w:r>
        <w:t xml:space="preserve"> </w:t>
      </w:r>
      <w:r>
        <w:t xml:space="preserve">filter and no current authorization on file. That is worth checking as a</w:t>
      </w:r>
      <w:r>
        <w:t xml:space="preserve"> </w:t>
      </w:r>
      <w:r>
        <w:t xml:space="preserve">discrete action rather than assuming.</w:t>
      </w:r>
    </w:p>
    <w:p>
      <w:pPr>
        <w:pStyle w:val="BodyText"/>
      </w:pPr>
      <w:r>
        <w:rPr>
          <w:b/>
          <w:bCs/>
        </w:rPr>
        <w:t xml:space="preserve">Fifth, for GCC the routing arrangement is documented as working but is</w:t>
      </w:r>
      <w:r>
        <w:rPr>
          <w:b/>
          <w:bCs/>
        </w:rPr>
        <w:t xml:space="preserve"> </w:t>
      </w:r>
      <w:r>
        <w:rPr>
          <w:b/>
          <w:bCs/>
        </w:rPr>
        <w:t xml:space="preserve">not documented as to how.</w:t>
      </w:r>
      <w:r>
        <w:t xml:space="preserve"> </w:t>
      </w:r>
      <w:r>
        <w:t xml:space="preserve">Microsoft states that Office 365 GCC pairs</w:t>
      </w:r>
      <w:r>
        <w:t xml:space="preserve"> </w:t>
      </w:r>
      <w:r>
        <w:t xml:space="preserve">with Entra ID in Azure Commercial, while GCC High and DoD pair with</w:t>
      </w:r>
      <w:r>
        <w:t xml:space="preserve"> </w:t>
      </w:r>
      <w:r>
        <w:t xml:space="preserve">Azure Government. GCC has no separate endpoint list at all — it is</w:t>
      </w:r>
      <w:r>
        <w:t xml:space="preserve"> </w:t>
      </w:r>
      <w:r>
        <w:t xml:space="preserve">served by the Worldwide list, and the endpoint web service publishes</w:t>
      </w:r>
      <w:r>
        <w:t xml:space="preserve"> </w:t>
      </w:r>
      <w:r>
        <w:t xml:space="preserve">instances only for Worldwide, China, USGovDoD and USGovGCCHigh. There is</w:t>
      </w:r>
      <w:r>
        <w:t xml:space="preserve"> </w:t>
      </w:r>
      <w:r>
        <w:t xml:space="preserve">no GCC instance. Microsoft’s ExpressRoute FAQ nonetheless answers the</w:t>
      </w:r>
      <w:r>
        <w:t xml:space="preserve"> </w:t>
      </w:r>
      <w:r>
        <w:t xml:space="preserve">obvious question affirmatively:</w:t>
      </w:r>
      <w:r>
        <w:t xml:space="preserve"> </w:t>
      </w:r>
      <w:r>
        <w:rPr>
          <w:i/>
          <w:iCs/>
        </w:rPr>
        <w:t xml:space="preserve">“Can I access Office 365 US Government</w:t>
      </w:r>
      <w:r>
        <w:rPr>
          <w:i/>
          <w:iCs/>
        </w:rPr>
        <w:t xml:space="preserve"> </w:t>
      </w:r>
      <w:r>
        <w:rPr>
          <w:i/>
          <w:iCs/>
        </w:rPr>
        <w:t xml:space="preserve">Community (GCC) services over an Azure US Government ExpressRoute</w:t>
      </w:r>
      <w:r>
        <w:rPr>
          <w:i/>
          <w:iCs/>
        </w:rPr>
        <w:t xml:space="preserve"> </w:t>
      </w:r>
      <w:r>
        <w:rPr>
          <w:i/>
          <w:iCs/>
        </w:rPr>
        <w:t xml:space="preserve">circuit? Yes. Office 365 GCC service endpoints are reachable through the</w:t>
      </w:r>
      <w:r>
        <w:rPr>
          <w:i/>
          <w:iCs/>
        </w:rPr>
        <w:t xml:space="preserve"> </w:t>
      </w:r>
      <w:r>
        <w:rPr>
          <w:i/>
          <w:iCs/>
        </w:rPr>
        <w:t xml:space="preserve">Azure US Government ExpressRoute. However, you first need to open a</w:t>
      </w:r>
      <w:r>
        <w:rPr>
          <w:i/>
          <w:iCs/>
        </w:rPr>
        <w:t xml:space="preserve"> </w:t>
      </w:r>
      <w:r>
        <w:rPr>
          <w:i/>
          <w:iCs/>
        </w:rPr>
        <w:t xml:space="preserve">support ticket on the Azure portal to provide the prefixes you intend to</w:t>
      </w:r>
      <w:r>
        <w:rPr>
          <w:i/>
          <w:iCs/>
        </w:rPr>
        <w:t xml:space="preserve"> </w:t>
      </w:r>
      <w:r>
        <w:rPr>
          <w:i/>
          <w:iCs/>
        </w:rPr>
        <w:t xml:space="preserve">advertise to Microsoft.”</w:t>
      </w:r>
    </w:p>
    <w:p>
      <w:pPr>
        <w:pStyle w:val="BodyText"/>
      </w:pPr>
      <w:r>
        <w:t xml:space="preserve">That answer sits in tension with a statement two questions later on the</w:t>
      </w:r>
      <w:r>
        <w:t xml:space="preserve"> </w:t>
      </w:r>
      <w:r>
        <w:t xml:space="preserve">same page, that Azure Government Microsoft peering is</w:t>
      </w:r>
      <w:r>
        <w:t xml:space="preserve"> </w:t>
      </w:r>
      <w:r>
        <w:rPr>
          <w:i/>
          <w:iCs/>
        </w:rPr>
        <w:t xml:space="preserve">“limited to only</w:t>
      </w:r>
      <w:r>
        <w:rPr>
          <w:i/>
          <w:iCs/>
        </w:rPr>
        <w:t xml:space="preserve"> </w:t>
      </w:r>
      <w:r>
        <w:rPr>
          <w:i/>
          <w:iCs/>
        </w:rPr>
        <w:t xml:space="preserve">public IPs within Azure Government regions and doesn’t extend to the</w:t>
      </w:r>
      <w:r>
        <w:rPr>
          <w:i/>
          <w:iCs/>
        </w:rPr>
        <w:t xml:space="preserve"> </w:t>
      </w:r>
      <w:r>
        <w:rPr>
          <w:i/>
          <w:iCs/>
        </w:rPr>
        <w:t xml:space="preserve">broader ranges of commercial public IPs”</w:t>
      </w:r>
      <w:r>
        <w:t xml:space="preserve"> </w:t>
      </w:r>
      <w:r>
        <w:t xml:space="preserve">— and GCC endpoints are in</w:t>
      </w:r>
      <w:r>
        <w:t xml:space="preserve"> </w:t>
      </w:r>
      <w:r>
        <w:t xml:space="preserve">commercial IP space. Microsoft nowhere reconciles the two, and nowhere</w:t>
      </w:r>
      <w:r>
        <w:t xml:space="preserve"> </w:t>
      </w:r>
      <w:r>
        <w:t xml:space="preserve">states which BGP communities or prefixes the GCC arrangement uses.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practical conclusion for an agency: do not assume an existing Azure</w:t>
      </w:r>
      <w:r>
        <w:rPr>
          <w:b/>
          <w:bCs/>
        </w:rPr>
        <w:t xml:space="preserve"> </w:t>
      </w:r>
      <w:r>
        <w:rPr>
          <w:b/>
          <w:bCs/>
        </w:rPr>
        <w:t xml:space="preserve">Government circuit carries your GCC traffic. Confirm the specific prefix</w:t>
      </w:r>
      <w:r>
        <w:rPr>
          <w:b/>
          <w:bCs/>
        </w:rPr>
        <w:t xml:space="preserve"> </w:t>
      </w:r>
      <w:r>
        <w:rPr>
          <w:b/>
          <w:bCs/>
        </w:rPr>
        <w:t xml:space="preserve">arrangement with Microsoft in writing.</w:t>
      </w:r>
      <w:r>
        <w:t xml:space="preserve"> </w:t>
      </w:r>
      <w:r>
        <w:t xml:space="preserve">The ambiguity is itself worth</w:t>
      </w:r>
      <w:r>
        <w:t xml:space="preserve"> </w:t>
      </w:r>
      <w:r>
        <w:t xml:space="preserve">recording in the architecture documentation.</w:t>
      </w:r>
    </w:p>
    <w:p>
      <w:pPr>
        <w:pStyle w:val="BodyText"/>
      </w:pPr>
      <w:r>
        <w:rPr>
          <w:b/>
          <w:bCs/>
        </w:rPr>
        <w:t xml:space="preserve">Finally, Microsoft treats hairpinning branch traffic to a circuit as a</w:t>
      </w:r>
      <w:r>
        <w:rPr>
          <w:b/>
          <w:bCs/>
        </w:rPr>
        <w:t xml:space="preserve"> </w:t>
      </w:r>
      <w:r>
        <w:rPr>
          <w:b/>
          <w:bCs/>
        </w:rPr>
        <w:t xml:space="preserve">defect to be fixed</w:t>
      </w:r>
      <w:r>
        <w:t xml:space="preserve">, not as an architecture:</w:t>
      </w:r>
      <w:r>
        <w:t xml:space="preserve"> </w:t>
      </w:r>
      <w:r>
        <w:rPr>
          <w:i/>
          <w:iCs/>
        </w:rPr>
        <w:t xml:space="preserve">“It may also show global</w:t>
      </w:r>
      <w:r>
        <w:rPr>
          <w:i/>
          <w:iCs/>
        </w:rPr>
        <w:t xml:space="preserve"> </w:t>
      </w:r>
      <w:r>
        <w:rPr>
          <w:i/>
          <w:iCs/>
        </w:rPr>
        <w:t xml:space="preserve">hairpin network connections where traffic routes to a distant location</w:t>
      </w:r>
      <w:r>
        <w:rPr>
          <w:i/>
          <w:iCs/>
        </w:rPr>
        <w:t xml:space="preserve"> </w:t>
      </w:r>
      <w:r>
        <w:rPr>
          <w:i/>
          <w:iCs/>
        </w:rPr>
        <w:t xml:space="preserve">in order to get the meet-me location. If a hairpin on the global network</w:t>
      </w:r>
      <w:r>
        <w:rPr>
          <w:i/>
          <w:iCs/>
        </w:rPr>
        <w:t xml:space="preserve"> </w:t>
      </w:r>
      <w:r>
        <w:rPr>
          <w:i/>
          <w:iCs/>
        </w:rPr>
        <w:t xml:space="preserve">is discovered, it should be remediated before continuing. Either find</w:t>
      </w:r>
      <w:r>
        <w:rPr>
          <w:i/>
          <w:iCs/>
        </w:rPr>
        <w:t xml:space="preserve"> </w:t>
      </w:r>
      <w:r>
        <w:rPr>
          <w:i/>
          <w:iCs/>
        </w:rPr>
        <w:t xml:space="preserve">another meet-me location, or use selective Internet breakout egress</w:t>
      </w:r>
      <w:r>
        <w:rPr>
          <w:i/>
          <w:iCs/>
        </w:rPr>
        <w:t xml:space="preserve"> </w:t>
      </w:r>
      <w:r>
        <w:rPr>
          <w:i/>
          <w:iCs/>
        </w:rPr>
        <w:t xml:space="preserve">points to avoid the hairpin.”</w:t>
      </w:r>
      <w:r>
        <w:t xml:space="preserve"> </w:t>
      </w:r>
      <w:r>
        <w:t xml:space="preserve">And on inspection, Microsoft’s current</w:t>
      </w:r>
      <w:r>
        <w:t xml:space="preserve"> </w:t>
      </w:r>
      <w:r>
        <w:t xml:space="preserve">guidance is to</w:t>
      </w:r>
      <w:r>
        <w:t xml:space="preserve"> </w:t>
      </w:r>
      <w:r>
        <w:rPr>
          <w:i/>
          <w:iCs/>
        </w:rPr>
        <w:t xml:space="preserve">“bypass Microsoft 365 domains from TLS decryption,</w:t>
      </w:r>
      <w:r>
        <w:rPr>
          <w:i/>
          <w:iCs/>
        </w:rPr>
        <w:t xml:space="preserve"> </w:t>
      </w:r>
      <w:r>
        <w:rPr>
          <w:i/>
          <w:iCs/>
        </w:rPr>
        <w:t xml:space="preserve">traffic interception, deep packet inspection, and network packet and</w:t>
      </w:r>
      <w:r>
        <w:rPr>
          <w:i/>
          <w:iCs/>
        </w:rPr>
        <w:t xml:space="preserve"> </w:t>
      </w:r>
      <w:r>
        <w:rPr>
          <w:i/>
          <w:iCs/>
        </w:rPr>
        <w:t xml:space="preserve">content filtering”</w:t>
      </w:r>
      <w:r>
        <w:t xml:space="preserve"> </w:t>
      </w:r>
      <w:r>
        <w:t xml:space="preserve">and to</w:t>
      </w:r>
      <w:r>
        <w:t xml:space="preserve"> </w:t>
      </w:r>
      <w:r>
        <w:rPr>
          <w:i/>
          <w:iCs/>
        </w:rPr>
        <w:t xml:space="preserve">“bypass traffic intermediation devices such</w:t>
      </w:r>
      <w:r>
        <w:rPr>
          <w:i/>
          <w:iCs/>
        </w:rPr>
        <w:t xml:space="preserve"> </w:t>
      </w:r>
      <w:r>
        <w:rPr>
          <w:i/>
          <w:iCs/>
        </w:rPr>
        <w:t xml:space="preserve">as proxies and VPN services”</w:t>
      </w:r>
      <w:r>
        <w:t xml:space="preserve"> </w:t>
      </w:r>
      <w:r>
        <w:t xml:space="preserve">— a list it says it has</w:t>
      </w:r>
      <w:r>
        <w:t xml:space="preserve"> </w:t>
      </w:r>
      <w:r>
        <w:rPr>
          <w:i/>
          <w:iCs/>
        </w:rPr>
        <w:t xml:space="preserve">“not tested”</w:t>
      </w:r>
      <w:r>
        <w:t xml:space="preserve"> </w:t>
      </w:r>
      <w:r>
        <w:t xml:space="preserve">and which is</w:t>
      </w:r>
      <w:r>
        <w:t xml:space="preserve"> </w:t>
      </w:r>
      <w:r>
        <w:rPr>
          <w:i/>
          <w:iCs/>
        </w:rPr>
        <w:t xml:space="preserve">“known to cause connectivity issues.”</w:t>
      </w:r>
      <w:r>
        <w:t xml:space="preserve"> </w:t>
      </w:r>
      <w:r>
        <w:t xml:space="preserve">Microsoft applies</w:t>
      </w:r>
      <w:r>
        <w:t xml:space="preserve"> </w:t>
      </w:r>
      <w:r>
        <w:t xml:space="preserve">that guidance to ExpressRoute paths as well as internet paths; the</w:t>
      </w:r>
      <w:r>
        <w:t xml:space="preserve"> </w:t>
      </w:r>
      <w:r>
        <w:t xml:space="preserve">circuit creates no inspection-friendly exception.</w:t>
      </w:r>
    </w:p>
    <w:p>
      <w:pPr>
        <w:pStyle w:val="BodyText"/>
      </w:pPr>
      <w:r>
        <w:t xml:space="preserve">An agency with private connectivity to its primary cloud and nothing at</w:t>
      </w:r>
      <w:r>
        <w:t xml:space="preserve"> </w:t>
      </w:r>
      <w:r>
        <w:t xml:space="preserve">the branch edge has solved the leg it was already least worried about</w:t>
      </w:r>
      <w:r>
        <w:t xml:space="preserve"> </w:t>
      </w:r>
      <w:r>
        <w:t xml:space="preserve">— and, in the Microsoft 365 case, may be maintaining a circuit for a</w:t>
      </w:r>
      <w:r>
        <w:t xml:space="preserve"> </w:t>
      </w:r>
      <w:r>
        <w:t xml:space="preserve">workload the vendor now recommends taking off it.</w:t>
      </w:r>
    </w:p>
    <w:bookmarkEnd w:id="15"/>
    <w:bookmarkStart w:id="16" w:name="what-is-left-and-what-is-actually-scarce"/>
    <w:p>
      <w:pPr>
        <w:pStyle w:val="Heading2"/>
      </w:pPr>
      <w:r>
        <w:t xml:space="preserve">2.6 What is left, and what is actually scarce</w:t>
      </w:r>
    </w:p>
    <w:p>
      <w:pPr>
        <w:pStyle w:val="FirstParagraph"/>
      </w:pPr>
      <w:r>
        <w:t xml:space="preserve">What remains is local internet breakout at the branch, a cloud-delivered</w:t>
      </w:r>
      <w:r>
        <w:t xml:space="preserve"> </w:t>
      </w:r>
      <w:r>
        <w:t xml:space="preserve">security stack at a nearby point of presence, and a policy layer at the</w:t>
      </w:r>
      <w:r>
        <w:t xml:space="preserve"> </w:t>
      </w:r>
      <w:r>
        <w:t xml:space="preserve">branch edge deciding what goes where.</w:t>
      </w:r>
    </w:p>
    <w:p>
      <w:pPr>
        <w:pStyle w:val="BodyText"/>
      </w:pPr>
      <w:r>
        <w:rPr>
          <w:b/>
          <w:bCs/>
        </w:rPr>
        <w:t xml:space="preserve">The scarcity is in the product category, not in the functions</w:t>
      </w:r>
      <w:r>
        <w:t xml:space="preserve">, and</w:t>
      </w:r>
      <w:r>
        <w:t xml:space="preserve"> </w:t>
      </w:r>
      <w:r>
        <w:t xml:space="preserve">an agency that cannot buy for three years should be clear about which it</w:t>
      </w:r>
      <w:r>
        <w:t xml:space="preserve"> </w:t>
      </w:r>
      <w:r>
        <w:t xml:space="preserve">is short of: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2386"/>
        <w:gridCol w:w="2929"/>
        <w:gridCol w:w="2495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Function What it provi</w:t>
            </w:r>
            <w:r>
              <w:t xml:space="preserve"> </w:t>
            </w:r>
            <w:r>
              <w:t xml:space="preserve">award?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 Obtainable before an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Application-aware Per-</w:t>
            </w:r>
            <w:r>
              <w:t xml:space="preserve"> </w:t>
            </w:r>
            <w:r>
              <w:t xml:space="preserve">steering assignment po</w:t>
            </w:r>
            <w:r>
              <w:t xml:space="preserve"> </w:t>
            </w:r>
            <w:r>
              <w:t xml:space="preserve">on existing edge</w:t>
            </w:r>
            <w:r>
              <w:t xml:space="preserve"> </w:t>
            </w:r>
            <w:r>
              <w:t xml:space="preserve">equipment, for a small</w:t>
            </w:r>
            <w:r>
              <w:t xml:space="preserve"> </w:t>
            </w:r>
            <w:r>
              <w:t xml:space="preserve">number of classes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application path Partially</w:t>
            </w:r>
            <w:r>
              <w:t xml:space="preserve"> </w:t>
            </w:r>
            <w:r>
              <w:t xml:space="preserve">licy-based routing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Multi-link use and Con</w:t>
            </w:r>
            <w:r>
              <w:t xml:space="preserve"> </w:t>
            </w:r>
            <w:r>
              <w:t xml:space="preserve">failover sub-second fa</w:t>
            </w:r>
            <w:r>
              <w:t xml:space="preserve"> </w:t>
            </w:r>
            <w:r>
              <w:t xml:space="preserve">genuinely dependent on</w:t>
            </w:r>
            <w:r>
              <w:t xml:space="preserve"> </w:t>
            </w:r>
            <w:r>
              <w:t xml:space="preserve">the product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links, Rarely — t</w:t>
            </w:r>
            <w:r>
              <w:t xml:space="preserve"> </w:t>
            </w:r>
            <w:r>
              <w:t xml:space="preserve">ilover function most</w:t>
            </w:r>
          </w:p>
        </w:tc>
        <w:tc>
          <w:tcPr/>
          <w:p>
            <w:pPr>
              <w:pStyle w:val="Compact"/>
            </w:pPr>
            <w:r>
              <w:t xml:space="preserve">he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Path health Continuous</w:t>
            </w:r>
            <w:r>
              <w:t xml:space="preserve"> </w:t>
            </w:r>
            <w:r>
              <w:t xml:space="preserve">measurement latency, j</w:t>
            </w:r>
            <w:r>
              <w:t xml:space="preserve"> </w:t>
            </w:r>
            <w:r>
              <w:t xml:space="preserve">IPFIX/NetFlow,</w:t>
            </w:r>
            <w:r>
              <w:t xml:space="preserve"> </w:t>
            </w:r>
            <w:r>
              <w:t xml:space="preserve">endpoint telemetry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per-path Yes — synthetic</w:t>
            </w:r>
            <w:r>
              <w:t xml:space="preserve"> </w:t>
            </w:r>
            <w:r>
              <w:t xml:space="preserve">itter, loss transactions,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QoS before the WAN Pri</w:t>
            </w:r>
            <w:r>
              <w:t xml:space="preserve"> </w:t>
            </w:r>
            <w:r>
              <w:t xml:space="preserve">constrained link branc</w:t>
            </w:r>
            <w:r>
              <w:t xml:space="preserve"> </w:t>
            </w:r>
            <w:r>
              <w:t xml:space="preserve">mark and queue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ority queuing at the Partia</w:t>
            </w:r>
            <w:r>
              <w:t xml:space="preserve"> </w:t>
            </w:r>
            <w:r>
              <w:t xml:space="preserve">h routers can</w:t>
            </w:r>
          </w:p>
        </w:tc>
        <w:tc>
          <w:tcPr/>
          <w:p>
            <w:pPr>
              <w:pStyle w:val="Compact"/>
            </w:pPr>
            <w:r>
              <w:t xml:space="preserve">lly — most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Deterministic egress S</w:t>
            </w:r>
            <w:r>
              <w:t xml:space="preserve"> </w:t>
            </w:r>
            <w:r>
              <w:t xml:space="preserve">address per branch con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table, documented source Us</w:t>
            </w:r>
            <w:r>
              <w:t xml:space="preserve"> </w:t>
            </w:r>
            <w:r>
              <w:t xml:space="preserve">figuration decision</w:t>
            </w:r>
          </w:p>
        </w:tc>
        <w:tc>
          <w:tcPr/>
          <w:p>
            <w:pPr>
              <w:pStyle w:val="Compact"/>
            </w:pPr>
            <w:r>
              <w:t xml:space="preserve">ually yes — a NAT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Per-application Eviden</w:t>
            </w:r>
            <w:r>
              <w:t xml:space="preserve"> </w:t>
            </w:r>
            <w:r>
              <w:t xml:space="preserve">telemetry CA-7 records</w:t>
            </w:r>
            <w:r>
              <w:t xml:space="preserve"> </w:t>
            </w:r>
            <w:r>
              <w:t xml:space="preserve">application logs,</w:t>
            </w:r>
            <w:r>
              <w:t xml:space="preserve"> </w:t>
            </w:r>
            <w:r>
              <w:t xml:space="preserve">correlated by hand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 for SC-7, SI-4, Partiall</w:t>
            </w:r>
            <w:r>
              <w:t xml:space="preserve"> </w:t>
            </w:r>
            <w:r>
              <w:t xml:space="preserve">plus</w:t>
            </w:r>
          </w:p>
        </w:tc>
        <w:tc>
          <w:tcPr/>
          <w:p>
            <w:pPr>
              <w:pStyle w:val="Compact"/>
            </w:pPr>
            <w:r>
              <w:t xml:space="preserve">y — flow</w:t>
            </w:r>
          </w:p>
        </w:tc>
      </w:tr>
    </w:tbl>
    <w:p>
      <w:pPr>
        <w:pStyle w:val="BodyText"/>
      </w:pPr>
      <w:r>
        <w:t xml:space="preserve">Four of six are partially obtainable now. That is the practical content</w:t>
      </w:r>
      <w:r>
        <w:t xml:space="preserve"> </w:t>
      </w:r>
      <w:r>
        <w:t xml:space="preserve">of this paper for an agency that is years away, and Section 6 builds on</w:t>
      </w:r>
      <w:r>
        <w:t xml:space="preserve"> </w:t>
      </w:r>
      <w:r>
        <w:t xml:space="preserve">it.</w:t>
      </w:r>
    </w:p>
    <w:p>
      <w:pPr>
        <w:pStyle w:val="BodyText"/>
      </w:pPr>
      <w:r>
        <w:rPr>
          <w:b/>
          <w:bCs/>
        </w:rPr>
        <w:t xml:space="preserve">Where this argument is weakest.</w:t>
      </w:r>
      <w:r>
        <w:t xml:space="preserve"> </w:t>
      </w:r>
      <w:r>
        <w:t xml:space="preserve">“No alternative”</w:t>
      </w:r>
      <w:r>
        <w:t xml:space="preserve"> </w:t>
      </w:r>
      <w:r>
        <w:t xml:space="preserve">is partly an</w:t>
      </w:r>
      <w:r>
        <w:t xml:space="preserve"> </w:t>
      </w:r>
      <w:r>
        <w:t xml:space="preserve">artifact of how the market names things. A capable multi-WAN firewall</w:t>
      </w:r>
      <w:r>
        <w:t xml:space="preserve"> </w:t>
      </w:r>
      <w:r>
        <w:t xml:space="preserve">with policy-based routing and good flow export delivers a meaningful</w:t>
      </w:r>
      <w:r>
        <w:t xml:space="preserve"> </w:t>
      </w:r>
      <w:r>
        <w:t xml:space="preserve">fraction of the list without being sold as SD-WAN, and an agency with a</w:t>
      </w:r>
      <w:r>
        <w:t xml:space="preserve"> </w:t>
      </w:r>
      <w:r>
        <w:t xml:space="preserve">modern firewall estate at its branches may be closer than it thinks. The</w:t>
      </w:r>
      <w:r>
        <w:t xml:space="preserve"> </w:t>
      </w:r>
      <w:r>
        <w:t xml:space="preserve">defensible claim is narrower than</w:t>
      </w:r>
      <w:r>
        <w:t xml:space="preserve"> </w:t>
      </w:r>
      <w:r>
        <w:t xml:space="preserve">“there is no alternative”</w:t>
      </w:r>
      <w:r>
        <w:t xml:space="preserve">: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alternative product category has emerged</w:t>
      </w:r>
      <w:r>
        <w:t xml:space="preserve">, and assembling the functions</w:t>
      </w:r>
      <w:r>
        <w:t xml:space="preserve"> </w:t>
      </w:r>
      <w:r>
        <w:t xml:space="preserve">separately costs more integration effort than it saves in licence fees</w:t>
      </w:r>
      <w:r>
        <w:t xml:space="preserve"> </w:t>
      </w:r>
      <w:r>
        <w:t xml:space="preserve">— but in a long interim, integration effort is what an agency has and</w:t>
      </w:r>
      <w:r>
        <w:t xml:space="preserve"> </w:t>
      </w:r>
      <w:r>
        <w:t xml:space="preserve">licence fees are what it does not.</w:t>
      </w:r>
    </w:p>
    <w:bookmarkEnd w:id="16"/>
    <w:bookmarkStart w:id="17" w:name="what-any-of-this-costs"/>
    <w:p>
      <w:pPr>
        <w:pStyle w:val="Heading2"/>
      </w:pPr>
      <w:r>
        <w:t xml:space="preserve">2.7 What any of this costs</w:t>
      </w:r>
    </w:p>
    <w:p>
      <w:pPr>
        <w:pStyle w:val="FirstParagraph"/>
      </w:pPr>
      <w:r>
        <w:t xml:space="preserve">An agency building a business case needs numbers, and the honest report</w:t>
      </w:r>
      <w:r>
        <w:t xml:space="preserve"> </w:t>
      </w:r>
      <w:r>
        <w:t xml:space="preserve">on where they come from is partly negative. That negative finding is</w:t>
      </w:r>
      <w:r>
        <w:t xml:space="preserve"> </w:t>
      </w:r>
      <w:r>
        <w:t xml:space="preserve">itself useful, because it explains why so many of the figures in</w:t>
      </w:r>
      <w:r>
        <w:t xml:space="preserve"> </w:t>
      </w:r>
      <w:r>
        <w:t xml:space="preserve">circulation are unsourced.</w:t>
      </w:r>
    </w:p>
    <w:p>
      <w:pPr>
        <w:pStyle w:val="BodyText"/>
      </w:pPr>
      <w:r>
        <w:rPr>
          <w:b/>
          <w:bCs/>
        </w:rPr>
        <w:t xml:space="preserve">What is not publicly available: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GSA publishes no downloadable EIS price list.</w:t>
      </w:r>
      <w:r>
        <w:t xml:space="preserve"> </w:t>
      </w:r>
      <w:r>
        <w:t xml:space="preserve">EIS pricing is</w:t>
      </w:r>
      <w:r>
        <w:t xml:space="preserve"> </w:t>
      </w:r>
      <w:r>
        <w:t xml:space="preserve">genuinely public and requires no account, but only through the</w:t>
      </w:r>
      <w:r>
        <w:t xml:space="preserve"> </w:t>
      </w:r>
      <w:r>
        <w:t xml:space="preserve">interactive EIS Public Pricer, which is a multi-step per-CLIN,</w:t>
      </w:r>
      <w:r>
        <w:t xml:space="preserve"> </w:t>
      </w:r>
      <w:r>
        <w:t xml:space="preserve">per-location wizard with no bulk export and no documented API.</w:t>
      </w:r>
      <w:r>
        <w:t xml:space="preserve"> </w:t>
      </w:r>
      <w:r>
        <w:t xml:space="preserve">Prices for Virtual Private Network Service, Ethernet Transport</w:t>
      </w:r>
      <w:r>
        <w:t xml:space="preserve"> </w:t>
      </w:r>
      <w:r>
        <w:t xml:space="preserve">Service, Internet Protocol Service and Managed Network Service are</w:t>
      </w:r>
      <w:r>
        <w:t xml:space="preserve"> </w:t>
      </w:r>
      <w:r>
        <w:t xml:space="preserve">all obtainable by a person with a browser and cannot be cited in</w:t>
      </w:r>
      <w:r>
        <w:t xml:space="preserve"> </w:t>
      </w:r>
      <w:r>
        <w:t xml:space="preserve">bulk.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MTIPS has no public price at all.</w:t>
      </w:r>
      <w:r>
        <w:t xml:space="preserve"> </w:t>
      </w:r>
      <w:r>
        <w:t xml:space="preserve">GSA’s service documentation</w:t>
      </w:r>
      <w:r>
        <w:t xml:space="preserve"> </w:t>
      </w:r>
      <w:r>
        <w:t xml:space="preserve">states that MTIPS features are priced on an Individual Case Basis</w:t>
      </w:r>
      <w:r>
        <w:t xml:space="preserve"> </w:t>
      </w:r>
      <w:r>
        <w:t xml:space="preserve">and that ICB CLINs are not available in the unit pricer. There is no</w:t>
      </w:r>
      <w:r>
        <w:t xml:space="preserve"> </w:t>
      </w:r>
      <w:r>
        <w:t xml:space="preserve">per-Mbps or per-agency MTIPS figure to cite.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GAO has never quantified realized EIS savings.</w:t>
      </w:r>
      <w:r>
        <w:t xml:space="preserve"> </w:t>
      </w:r>
      <w:r>
        <w:t xml:space="preserve">Its last</w:t>
      </w:r>
      <w:r>
        <w:t xml:space="preserve"> </w:t>
      </w:r>
      <w:r>
        <w:t xml:space="preserve">substantive EIS report is from April 2020.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federal agency has published before-and-after SD-WAN cost</w:t>
      </w:r>
      <w:r>
        <w:rPr>
          <w:b/>
          <w:bCs/>
        </w:rPr>
        <w:t xml:space="preserve"> </w:t>
      </w:r>
      <w:r>
        <w:rPr>
          <w:b/>
          <w:bCs/>
        </w:rPr>
        <w:t xml:space="preserve">figures.</w:t>
      </w:r>
      <w:r>
        <w:t xml:space="preserve"> </w:t>
      </w:r>
      <w:r>
        <w:t xml:space="preserve">Task order ceilings are public; realized cost deltas are</w:t>
      </w:r>
      <w:r>
        <w:t xml:space="preserve"> </w:t>
      </w:r>
      <w:r>
        <w:t xml:space="preserve">not.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published federal figure isolates legacy WAN or MPLS operating</w:t>
      </w:r>
      <w:r>
        <w:rPr>
          <w:b/>
          <w:bCs/>
        </w:rPr>
        <w:t xml:space="preserve"> </w:t>
      </w:r>
      <w:r>
        <w:rPr>
          <w:b/>
          <w:bCs/>
        </w:rPr>
        <w:t xml:space="preserve">cost.</w:t>
      </w:r>
      <w:r>
        <w:t xml:space="preserve"> </w:t>
      </w:r>
      <w:r>
        <w:t xml:space="preserve">Every federal legacy-systems and O&amp;M figure found is all-IT</w:t>
      </w:r>
      <w:r>
        <w:t xml:space="preserve"> </w:t>
      </w:r>
      <w:r>
        <w:t xml:space="preserve">— applications and mainframes — not network.</w:t>
      </w:r>
    </w:p>
    <w:p>
      <w:pPr>
        <w:pStyle w:val="FirstParagraph"/>
      </w:pPr>
      <w:r>
        <w:rPr>
          <w:b/>
          <w:bCs/>
        </w:rPr>
        <w:t xml:space="preserve">What is available and citable: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4773"/>
        <w:gridCol w:w="3037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Figure Source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~$329M missed savings from Networx GAO-14-</w:t>
            </w:r>
            <w:r>
              <w:t xml:space="preserve"> </w:t>
            </w:r>
            <w:r>
              <w:t xml:space="preserve">transition delays, on a 28.4% potential</w:t>
            </w:r>
            <w:r>
              <w:t xml:space="preserve"> </w:t>
            </w:r>
            <w:r>
              <w:t xml:space="preserve">savings rate; $66.4M (44%) transition cost</w:t>
            </w:r>
            <w:r>
              <w:t xml:space="preserve"> </w:t>
            </w:r>
            <w:r>
              <w:t xml:space="preserve">overrun</w:t>
            </w:r>
          </w:p>
        </w:tc>
        <w:tc>
          <w:tcPr/>
          <w:p>
            <w:pPr>
              <w:pStyle w:val="Compact"/>
            </w:pPr>
            <w:r>
              <w:t xml:space="preserve">63, December 2013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$2.08B projected additional taxpayer cost G</w:t>
            </w:r>
            <w:r>
              <w:t xml:space="preserve"> </w:t>
            </w:r>
            <w:r>
              <w:t xml:space="preserve">of the 2020 Networx extension caused by the</w:t>
            </w:r>
            <w:r>
              <w:t xml:space="preserve"> </w:t>
            </w:r>
            <w:r>
              <w:t xml:space="preserve">delayed EIS transition</w:t>
            </w:r>
          </w:p>
        </w:tc>
        <w:tc>
          <w:tcPr/>
          <w:p>
            <w:pPr>
              <w:pStyle w:val="Compact"/>
            </w:pPr>
            <w:r>
              <w:t xml:space="preserve">SA EIS case study, June</w:t>
            </w:r>
            <w:r>
              <w:t xml:space="preserve"> </w:t>
            </w:r>
            <w:r>
              <w:t xml:space="preserve">2020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 EIS task orders totalling over $7.4B GSA</w:t>
            </w:r>
            <w:r>
              <w:t xml:space="preserve"> </w:t>
            </w:r>
            <w:r>
              <w:t xml:space="preserve">within a year of programme launch 2020</w:t>
            </w:r>
          </w:p>
        </w:tc>
        <w:tc>
          <w:tcPr/>
          <w:p>
            <w:pPr>
              <w:pStyle w:val="Compact"/>
            </w:pPr>
            <w:r>
              <w:t xml:space="preserve">EIS case study, June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~80% of over $100B annual federal IT GAO-2</w:t>
            </w:r>
            <w:r>
              <w:t xml:space="preserve"> </w:t>
            </w:r>
            <w:r>
              <w:t xml:space="preserve">spend goes to operations and maintenance</w:t>
            </w:r>
          </w:p>
        </w:tc>
        <w:tc>
          <w:tcPr/>
          <w:p>
            <w:pPr>
              <w:pStyle w:val="Compact"/>
            </w:pPr>
            <w:r>
              <w:t xml:space="preserve">5-107795,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$50B EIS ceiling; ~$2.5B spent through CR</w:t>
            </w:r>
            <w:r>
              <w:t xml:space="preserve"> </w:t>
            </w:r>
            <w:r>
              <w:t xml:space="preserve">GSA telecom contracts in FY2019</w:t>
            </w:r>
          </w:p>
        </w:tc>
        <w:tc>
          <w:tcPr/>
          <w:p>
            <w:pPr>
              <w:pStyle w:val="Compact"/>
            </w:pPr>
            <w:r>
              <w:t xml:space="preserve">S IF11668, October 2020</w:t>
            </w:r>
          </w:p>
        </w:tc>
      </w:tr>
    </w:tbl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$2.08B Networx extension figure is the strongest single</w:t>
      </w:r>
      <w:r>
        <w:rPr>
          <w:b/>
          <w:bCs/>
        </w:rPr>
        <w:t xml:space="preserve"> </w:t>
      </w:r>
      <w:r>
        <w:rPr>
          <w:b/>
          <w:bCs/>
        </w:rPr>
        <w:t xml:space="preserve">“cost of</w:t>
      </w:r>
      <w:r>
        <w:rPr>
          <w:b/>
          <w:bCs/>
        </w:rPr>
        <w:t xml:space="preserve"> </w:t>
      </w:r>
      <w:r>
        <w:rPr>
          <w:b/>
          <w:bCs/>
        </w:rPr>
        <w:t xml:space="preserve">delay”</w:t>
      </w:r>
      <w:r>
        <w:rPr>
          <w:b/>
          <w:bCs/>
        </w:rPr>
        <w:t xml:space="preserve"> </w:t>
      </w:r>
      <w:r>
        <w:rPr>
          <w:b/>
          <w:bCs/>
        </w:rPr>
        <w:t xml:space="preserve">number in the federal record</w:t>
      </w:r>
      <w:r>
        <w:t xml:space="preserve">, because it prices deferral</w:t>
      </w:r>
      <w:r>
        <w:t xml:space="preserve"> </w:t>
      </w:r>
      <w:r>
        <w:t xml:space="preserve">directly rather than modelling it.</w:t>
      </w:r>
    </w:p>
    <w:p>
      <w:pPr>
        <w:pStyle w:val="BodyText"/>
      </w:pPr>
      <w:r>
        <w:rPr>
          <w:b/>
          <w:bCs/>
        </w:rPr>
        <w:t xml:space="preserve">On the MPLS-versus-broadband multiple.</w:t>
      </w:r>
      <w:r>
        <w:t xml:space="preserve"> </w:t>
      </w:r>
      <w:r>
        <w:t xml:space="preserve">The claim that MPLS costs</w:t>
      </w:r>
      <w:r>
        <w:t xml:space="preserve"> </w:t>
      </w:r>
      <w:r>
        <w:t xml:space="preserve">three to ten times broadband per megabit circulates widely. It is</w:t>
      </w:r>
      <w:r>
        <w:t xml:space="preserve"> </w:t>
      </w:r>
      <w:r>
        <w:t xml:space="preserve">asserted almost exclusively by WAN brokers, SD-WAN vendors and their</w:t>
      </w:r>
      <w:r>
        <w:t xml:space="preserve"> </w:t>
      </w:r>
      <w:r>
        <w:t xml:space="preserve">content marketing, none of whom publish a methodology. The one</w:t>
      </w:r>
      <w:r>
        <w:t xml:space="preserve"> </w:t>
      </w:r>
      <w:r>
        <w:t xml:space="preserve">independent dataset — TeleGeography, a research firm that sells WAN</w:t>
      </w:r>
      <w:r>
        <w:t xml:space="preserve"> </w:t>
      </w:r>
      <w:r>
        <w:t xml:space="preserve">pricing data and has no stake in the answer — reports a</w:t>
      </w:r>
      <w:r>
        <w:t xml:space="preserve"> </w:t>
      </w:r>
      <w:r>
        <w:rPr>
          <w:b/>
          <w:bCs/>
        </w:rPr>
        <w:t xml:space="preserve">much smaller</w:t>
      </w:r>
      <w:r>
        <w:rPr>
          <w:b/>
          <w:bCs/>
        </w:rPr>
        <w:t xml:space="preserve"> </w:t>
      </w:r>
      <w:r>
        <w:rPr>
          <w:b/>
          <w:bCs/>
        </w:rPr>
        <w:t xml:space="preserve">and less consistent gap</w:t>
      </w:r>
      <w:r>
        <w:t xml:space="preserve">: DIA is cheaper than MPLS across tiers when</w:t>
      </w:r>
      <w:r>
        <w:t xml:space="preserve"> </w:t>
      </w:r>
      <w:r>
        <w:t xml:space="preserve">both include local access, but at 20 Mbps in New York most carriers</w:t>
      </w:r>
      <w:r>
        <w:t xml:space="preserve"> </w:t>
      </w:r>
      <w:r>
        <w:t xml:space="preserve">offered only a slight discount for DIA, one offered a significant</w:t>
      </w:r>
      <w:r>
        <w:t xml:space="preserve"> </w:t>
      </w:r>
      <w:r>
        <w:t xml:space="preserve">discount, and</w:t>
      </w:r>
      <w:r>
        <w:t xml:space="preserve"> </w:t>
      </w:r>
      <w:r>
        <w:rPr>
          <w:b/>
          <w:bCs/>
        </w:rPr>
        <w:t xml:space="preserve">two priced DIA at a premium.</w:t>
      </w:r>
      <w:r>
        <w:t xml:space="preserve"> </w:t>
      </w:r>
      <w:r>
        <w:t xml:space="preserve">TeleGeography’s free</w:t>
      </w:r>
      <w:r>
        <w:t xml:space="preserve"> </w:t>
      </w:r>
      <w:r>
        <w:t xml:space="preserve">publications give charts and percentages rather than absolute price</w:t>
      </w:r>
      <w:r>
        <w:t xml:space="preserve"> </w:t>
      </w:r>
      <w:r>
        <w:t xml:space="preserve">levels; the $/Mbps data is behind a paid service.</w:t>
      </w:r>
      <w:r>
        <w:t xml:space="preserve"> </w:t>
      </w:r>
      <w:r>
        <w:rPr>
          <w:b/>
          <w:bCs/>
        </w:rPr>
        <w:t xml:space="preserve">An agency should</w:t>
      </w:r>
      <w:r>
        <w:rPr>
          <w:b/>
          <w:bCs/>
        </w:rPr>
        <w:t xml:space="preserve"> </w:t>
      </w:r>
      <w:r>
        <w:rPr>
          <w:b/>
          <w:bCs/>
        </w:rPr>
        <w:t xml:space="preserve">not build a business case on the marketing multiple.</w:t>
      </w:r>
      <w:r>
        <w:t xml:space="preserve"> </w:t>
      </w:r>
      <w:r>
        <w:t xml:space="preserve">It should price</w:t>
      </w:r>
      <w:r>
        <w:t xml:space="preserve"> </w:t>
      </w:r>
      <w:r>
        <w:t xml:space="preserve">its own circuits in the EIS pricer.</w:t>
      </w:r>
    </w:p>
    <w:p>
      <w:pPr>
        <w:pStyle w:val="BodyText"/>
      </w:pPr>
      <w:r>
        <w:rPr>
          <w:b/>
          <w:bCs/>
        </w:rPr>
        <w:t xml:space="preserve">The cost structure, which is buildable without unit prices.</w:t>
      </w:r>
      <w:r>
        <w:t xml:space="preserve"> </w:t>
      </w:r>
      <w:r>
        <w:t xml:space="preserve">EIS</w:t>
      </w:r>
      <w:r>
        <w:t xml:space="preserve"> </w:t>
      </w:r>
      <w:r>
        <w:t xml:space="preserve">charging units make the drivers explicit, and the structural difference</w:t>
      </w:r>
      <w:r>
        <w:t xml:space="preserve"> </w:t>
      </w:r>
      <w:r>
        <w:t xml:space="preserve">between the architectures is which variable the cost scales with:</w:t>
      </w:r>
    </w:p>
    <w:tbl>
      <w:tblPr>
        <w:tblStyle w:val="Table"/>
        <w:tblW w:type="pct" w:w="4934"/>
        <w:tblLayout w:type="fixed"/>
        <w:tblLook w:firstRow="1" w:lastRow="0" w:firstColumn="0" w:lastColumn="0" w:noHBand="0" w:noVBand="0" w:val="0020"/>
      </w:tblPr>
      <w:tblGrid>
        <w:gridCol w:w="1875"/>
        <w:gridCol w:w="2292"/>
        <w:gridCol w:w="1771"/>
        <w:gridCol w:w="18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Architecture Recur</w:t>
            </w:r>
          </w:p>
        </w:tc>
        <w:tc>
          <w:tcPr/>
          <w:p>
            <w:pPr>
              <w:pStyle w:val="Compact"/>
            </w:pPr>
            <w:r>
              <w:t xml:space="preserve">ring One-time Scales 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ith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MPLS + central VPN</w:t>
            </w:r>
            <w:r>
              <w:t xml:space="preserve"> </w:t>
            </w:r>
            <w:r>
              <w:t xml:space="preserve">TIC/MTIPS site; ac</w:t>
            </w:r>
            <w:r>
              <w:t xml:space="preserve"> </w:t>
            </w:r>
            <w:r>
              <w:t xml:space="preserve">location; equipmen</w:t>
            </w:r>
            <w:r>
              <w:t xml:space="preserve"> </w:t>
            </w:r>
            <w:r>
              <w:t xml:space="preserve">lease and prep; de</w:t>
            </w:r>
            <w:r>
              <w:t xml:space="preserve"> </w:t>
            </w:r>
            <w:r>
              <w:t xml:space="preserve">maintenance; MTIPS</w:t>
            </w:r>
            <w:r>
              <w:t xml:space="preserve"> </w:t>
            </w:r>
            <w:r>
              <w:t xml:space="preserve">port MRC plus ICB</w:t>
            </w:r>
            <w:r>
              <w:t xml:space="preserve"> </w:t>
            </w:r>
            <w:r>
              <w:t xml:space="preserve">features</w:t>
            </w:r>
          </w:p>
        </w:tc>
        <w:tc>
          <w:tcPr/>
          <w:p>
            <w:pPr>
              <w:pStyle w:val="Compact"/>
            </w:pPr>
            <w:r>
              <w:t xml:space="preserve">S port MRC per Access</w:t>
            </w:r>
            <w:r>
              <w:t xml:space="preserve"> </w:t>
            </w:r>
            <w:r>
              <w:t xml:space="preserve">cess MRC per CPE procu</w:t>
            </w:r>
            <w:r>
              <w:t xml:space="preserve"> </w:t>
            </w:r>
            <w:r>
              <w:t xml:space="preserve">t install, site Largel</w:t>
            </w:r>
            <w:r>
              <w:t xml:space="preserve"> </w:t>
            </w:r>
            <w:r>
              <w:t xml:space="preserve">sign and insensitive t</w:t>
            </w:r>
            <w:r>
              <w:t xml:space="preserve"> </w:t>
            </w:r>
            <w:r>
              <w:t xml:space="preserve">engineering actual tr</w:t>
            </w:r>
            <w:r>
              <w:t xml:space="preserve"> </w:t>
            </w:r>
            <w:r>
              <w:t xml:space="preserve">— you buy 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install; **Site c</w:t>
            </w:r>
            <w:r>
              <w:t xml:space="preserve"> </w:t>
            </w:r>
            <w:r>
              <w:t xml:space="preserve">rement, port spee</w:t>
            </w:r>
            <w:r>
              <w:t xml:space="preserve"> </w:t>
            </w:r>
            <w:r>
              <w:t xml:space="preserve">y</w:t>
            </w:r>
            <w:r>
              <w:t xml:space="preserve"> </w:t>
            </w:r>
            <w:r>
              <w:t xml:space="preserve">o</w:t>
            </w:r>
            <w:r>
              <w:t xml:space="preserve"> </w:t>
            </w:r>
            <w:r>
              <w:t xml:space="preserve">affic</w:t>
            </w:r>
          </w:p>
        </w:tc>
        <w:tc>
          <w:tcPr/>
          <w:p>
            <w:pPr>
              <w:pStyle w:val="Compact"/>
            </w:pPr>
            <w:r>
              <w:t xml:space="preserve">ount ×</w:t>
            </w:r>
            <w:r>
              <w:t xml:space="preserve"> </w:t>
            </w:r>
            <w:r>
              <w:t xml:space="preserve">d.**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DIA + SASE, no IPS</w:t>
            </w:r>
            <w:r>
              <w:t xml:space="preserve"> </w:t>
            </w:r>
            <w:r>
              <w:t xml:space="preserve">branch edge transp</w:t>
            </w:r>
            <w:r>
              <w:t xml:space="preserve"> </w:t>
            </w:r>
            <w:r>
              <w:t xml:space="preserve">(usage-based); acc</w:t>
            </w:r>
            <w:r>
              <w:t xml:space="preserve"> </w:t>
            </w:r>
            <w:r>
              <w:t xml:space="preserve">MRC per site; SASE</w:t>
            </w:r>
            <w:r>
              <w:t xml:space="preserve"> </w:t>
            </w:r>
            <w:r>
              <w:t xml:space="preserve">subscription; any</w:t>
            </w:r>
            <w:r>
              <w:t xml:space="preserve"> </w:t>
            </w:r>
            <w:r>
              <w:t xml:space="preserve">per-GB egress</w:t>
            </w:r>
          </w:p>
        </w:tc>
        <w:tc>
          <w:tcPr/>
          <w:p>
            <w:pPr>
              <w:pStyle w:val="Compact"/>
            </w:pPr>
            <w:r>
              <w:t xml:space="preserve">port MRC; IPS Access</w:t>
            </w:r>
            <w:r>
              <w:t xml:space="preserve"> </w:t>
            </w:r>
            <w:r>
              <w:t xml:space="preserve">ort minimal CPE; — t</w:t>
            </w:r>
            <w:r>
              <w:t xml:space="preserve"> </w:t>
            </w:r>
            <w:r>
              <w:t xml:space="preserve">ess SASE onboarding st</w:t>
            </w:r>
            <w:r>
              <w:t xml:space="preserve"> </w:t>
            </w:r>
            <w:r>
              <w:t xml:space="preserve">from the row</w:t>
            </w:r>
            <w:r>
              <w:t xml:space="preserve"> </w:t>
            </w:r>
            <w:r>
              <w:t xml:space="preserve">above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install; **User c</w:t>
            </w:r>
            <w:r>
              <w:t xml:space="preserve"> </w:t>
            </w:r>
            <w:r>
              <w:t xml:space="preserve">he</w:t>
            </w:r>
            <w:r>
              <w:t xml:space="preserve"> </w:t>
            </w:r>
            <w:r>
              <w:t xml:space="preserve">ructural break</w:t>
            </w:r>
          </w:p>
        </w:tc>
        <w:tc>
          <w:tcPr/>
          <w:p>
            <w:pPr>
              <w:pStyle w:val="Compact"/>
            </w:pPr>
            <w:r>
              <w:t xml:space="preserve">ount**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DIA + SASE + The r</w:t>
            </w:r>
            <w:r>
              <w:t xml:space="preserve"> </w:t>
            </w:r>
            <w:r>
              <w:t xml:space="preserve">branch edge applia</w:t>
            </w:r>
            <w:r>
              <w:t xml:space="preserve"> </w:t>
            </w:r>
            <w:r>
              <w:t xml:space="preserve">orchestration per</w:t>
            </w:r>
            <w:r>
              <w:t xml:space="preserve"> </w:t>
            </w:r>
            <w:r>
              <w:t xml:space="preserve">site (or Managed p</w:t>
            </w:r>
            <w:r>
              <w:t xml:space="preserve"> </w:t>
            </w:r>
            <w:r>
              <w:t xml:space="preserve">Network Service MR</w:t>
            </w:r>
            <w:r>
              <w:t xml:space="preserve"> </w:t>
            </w:r>
            <w:r>
              <w:t xml:space="preserve">per site), plus</w:t>
            </w:r>
            <w:r>
              <w:t xml:space="preserve"> </w:t>
            </w:r>
            <w:r>
              <w:t xml:space="preserve">usually a second</w:t>
            </w:r>
            <w:r>
              <w:t xml:space="preserve"> </w:t>
            </w:r>
            <w:r>
              <w:t xml:space="preserve">access circuit</w:t>
            </w:r>
          </w:p>
        </w:tc>
        <w:tc>
          <w:tcPr/>
          <w:p>
            <w:pPr>
              <w:pStyle w:val="Compact"/>
            </w:pPr>
            <w:r>
              <w:t xml:space="preserve">ow above, plus Applian</w:t>
            </w:r>
            <w:r>
              <w:t xml:space="preserve"> </w:t>
            </w:r>
            <w:r>
              <w:t xml:space="preserve">nce licence and procur</w:t>
            </w:r>
            <w:r>
              <w:t xml:space="preserve"> </w:t>
            </w:r>
            <w:r>
              <w:t xml:space="preserve">install labour plus us</w:t>
            </w:r>
            <w:r>
              <w:t xml:space="preserve"> </w:t>
            </w:r>
            <w:r>
              <w:t xml:space="preserve">er site for the SASE</w:t>
            </w:r>
            <w:r>
              <w:t xml:space="preserve"> </w:t>
            </w:r>
            <w:r>
              <w:t xml:space="preserve">C layer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 **Site count ×</w:t>
            </w:r>
            <w:r>
              <w:t xml:space="preserve"> </w:t>
            </w:r>
            <w:r>
              <w:t xml:space="preserve">ement and bandwid</w:t>
            </w:r>
            <w:r>
              <w:t xml:space="preserve"> </w:t>
            </w:r>
            <w:r>
              <w:t xml:space="preserve">er count</w:t>
            </w:r>
          </w:p>
        </w:tc>
        <w:tc>
          <w:tcPr/>
          <w:p>
            <w:pPr>
              <w:pStyle w:val="Compact"/>
            </w:pPr>
            <w:r>
              <w:t xml:space="preserve">th tier**,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Agency-operated 24</w:t>
            </w:r>
            <w:r>
              <w:t xml:space="preserve"> </w:t>
            </w:r>
            <w:r>
              <w:t xml:space="preserve">TICAP facilities;</w:t>
            </w:r>
            <w:r>
              <w:t xml:space="preserve"> </w:t>
            </w:r>
            <w:r>
              <w:t xml:space="preserve">stack subscription</w:t>
            </w:r>
            <w:r>
              <w:t xml:space="preserve"> </w:t>
            </w:r>
            <w:r>
              <w:t xml:space="preserve">and support; accre</w:t>
            </w:r>
            <w:r>
              <w:t xml:space="preserve"> </w:t>
            </w:r>
            <w:r>
              <w:t xml:space="preserve">transport into the</w:t>
            </w:r>
            <w:r>
              <w:t xml:space="preserve"> </w:t>
            </w:r>
            <w:r>
              <w:t xml:space="preserve">TICAP</w:t>
            </w:r>
          </w:p>
        </w:tc>
        <w:tc>
          <w:tcPr/>
          <w:p>
            <w:pPr>
              <w:pStyle w:val="Compact"/>
            </w:pPr>
            <w:r>
              <w:t xml:space="preserve">/7 SOC staffing; Secur</w:t>
            </w:r>
            <w:r>
              <w:t xml:space="preserve"> </w:t>
            </w:r>
            <w:r>
              <w:t xml:space="preserve">security capital; publ</w:t>
            </w:r>
            <w:r>
              <w:t xml:space="preserve"> </w:t>
            </w:r>
            <w:r>
              <w:t xml:space="preserve">s build-out; figure ex</w:t>
            </w:r>
            <w:r>
              <w:t xml:space="preserve"> </w:t>
            </w:r>
            <w:r>
              <w:t xml:space="preserve">ditation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ity stack Interna</w:t>
            </w:r>
            <w:r>
              <w:t xml:space="preserve"> </w:t>
            </w:r>
            <w:r>
              <w:t xml:space="preserve">ished federal</w:t>
            </w:r>
            <w:r>
              <w:t xml:space="preserve"> </w:t>
            </w:r>
            <w:r>
              <w:t xml:space="preserve">ists**</w:t>
            </w:r>
          </w:p>
        </w:tc>
        <w:tc>
          <w:tcPr/>
          <w:p>
            <w:pPr>
              <w:pStyle w:val="Compact"/>
            </w:pPr>
            <w:r>
              <w:t xml:space="preserve">l; **no</w:t>
            </w:r>
          </w:p>
        </w:tc>
      </w:tr>
    </w:tbl>
    <w:p>
      <w:pPr>
        <w:pStyle w:val="BodyText"/>
      </w:pPr>
      <w:r>
        <w:t xml:space="preserve">The move from the first row to the second is the one that changes the</w:t>
      </w:r>
      <w:r>
        <w:t xml:space="preserve"> </w:t>
      </w:r>
      <w:r>
        <w:t xml:space="preserve">cost</w:t>
      </w:r>
      <w:r>
        <w:t xml:space="preserve"> </w:t>
      </w:r>
      <w:r>
        <w:rPr>
          <w:i/>
          <w:iCs/>
        </w:rPr>
        <w:t xml:space="preserve">variable</w:t>
      </w:r>
      <w:r>
        <w:t xml:space="preserve"> </w:t>
      </w:r>
      <w:r>
        <w:t xml:space="preserve">— from site count and port speed to user count. For an</w:t>
      </w:r>
      <w:r>
        <w:t xml:space="preserve"> </w:t>
      </w:r>
      <w:r>
        <w:t xml:space="preserve">agency with many small branches that is favourable; for one with few</w:t>
      </w:r>
      <w:r>
        <w:t xml:space="preserve"> </w:t>
      </w:r>
      <w:r>
        <w:t xml:space="preserve">large sites and many users it may not be. That is the calculation to</w:t>
      </w:r>
      <w:r>
        <w:t xml:space="preserve"> </w:t>
      </w:r>
      <w:r>
        <w:t xml:space="preserve">run, and it can be run in the EIS pricer with real numbers before</w:t>
      </w:r>
      <w:r>
        <w:t xml:space="preserve"> </w:t>
      </w:r>
      <w:r>
        <w:t xml:space="preserve">anything is procured.</w:t>
      </w:r>
    </w:p>
    <w:p>
      <w:pPr>
        <w:pStyle w:val="BodyText"/>
      </w:pPr>
      <w:r>
        <w:rPr>
          <w:b/>
          <w:bCs/>
        </w:rPr>
        <w:t xml:space="preserve">One real price point, for scale.</w:t>
      </w:r>
      <w:r>
        <w:t xml:space="preserve"> </w:t>
      </w:r>
      <w:r>
        <w:t xml:space="preserve">SASE subscription pricing is</w:t>
      </w:r>
      <w:r>
        <w:t xml:space="preserve"> </w:t>
      </w:r>
      <w:r>
        <w:t xml:space="preserve">publicly visible on GSA schedule price lists for at least one vendor:</w:t>
      </w:r>
      <w:r>
        <w:t xml:space="preserve"> </w:t>
      </w:r>
      <w:r>
        <w:t xml:space="preserve">Zscaler’s published GSA per-user annual pricing runs roughly $59–$185</w:t>
      </w:r>
      <w:r>
        <w:t xml:space="preserve"> </w:t>
      </w:r>
      <w:r>
        <w:t xml:space="preserve">per user per year depending on edition and tier, with the GSA discount</w:t>
      </w:r>
      <w:r>
        <w:t xml:space="preserve"> </w:t>
      </w:r>
      <w:r>
        <w:t xml:space="preserve">off list at about one percent. Comparable public GSA pricing for Prisma</w:t>
      </w:r>
      <w:r>
        <w:t xml:space="preserve"> </w:t>
      </w:r>
      <w:r>
        <w:t xml:space="preserve">Access, Netskope, Cisco/Meraki, Fortinet and VeloCloud could not be</w:t>
      </w:r>
      <w:r>
        <w:t xml:space="preserve"> </w:t>
      </w:r>
      <w:r>
        <w:t xml:space="preserve">retrieved; the route for a specific vendor is its own contract PDF on</w:t>
      </w:r>
      <w:r>
        <w:t xml:space="preserve"> </w:t>
      </w:r>
      <w:r>
        <w:t xml:space="preserve">GSA Advantage.</w:t>
      </w:r>
      <w:r>
        <w:t xml:space="preserve"> </w:t>
      </w:r>
      <w:r>
        <w:rPr>
          <w:b/>
          <w:bCs/>
        </w:rPr>
        <w:t xml:space="preserve">A per-user annual subscription across a large agency</w:t>
      </w:r>
      <w:r>
        <w:rPr>
          <w:b/>
          <w:bCs/>
        </w:rPr>
        <w:t xml:space="preserve"> </w:t>
      </w:r>
      <w:r>
        <w:rPr>
          <w:b/>
          <w:bCs/>
        </w:rPr>
        <w:t xml:space="preserve">workforce is the term most likely to dominate the comparison, and it is</w:t>
      </w:r>
      <w:r>
        <w:rPr>
          <w:b/>
          <w:bCs/>
        </w:rPr>
        <w:t xml:space="preserve"> </w:t>
      </w:r>
      <w:r>
        <w:rPr>
          <w:b/>
          <w:bCs/>
        </w:rPr>
        <w:t xml:space="preserve">the one most often left out of the SD-WAN-versus-MPLS framing</w:t>
      </w:r>
      <w:r>
        <w:rPr>
          <w:b/>
          <w:bCs/>
        </w:rPr>
        <w:t xml:space="preserve"> </w:t>
      </w:r>
      <w:r>
        <w:rPr>
          <w:b/>
          <w:bCs/>
        </w:rPr>
        <w:t xml:space="preserve">entirely.</w:t>
      </w:r>
    </w:p>
    <w:bookmarkEnd w:id="17"/>
    <w:bookmarkEnd w:id="18"/>
    <w:bookmarkStart w:id="25" w:name="what-federal-policy-actually-requires"/>
    <w:p>
      <w:pPr>
        <w:pStyle w:val="Heading1"/>
      </w:pPr>
      <w:r>
        <w:t xml:space="preserve">3. What federal policy actually requires</w:t>
      </w:r>
    </w:p>
    <w:bookmarkStart w:id="19" w:name="tic-3.0-is-technology-neutral"/>
    <w:p>
      <w:pPr>
        <w:pStyle w:val="Heading2"/>
      </w:pPr>
      <w:r>
        <w:t xml:space="preserve">3.1 TIC 3.0 is technology-neutral</w:t>
      </w:r>
    </w:p>
    <w:p>
      <w:pPr>
        <w:pStyle w:val="FirstParagraph"/>
      </w:pPr>
      <w:r>
        <w:t xml:space="preserve">TIC 3.0 guidance is descriptive, not prescriptive. It defines security</w:t>
      </w:r>
      <w:r>
        <w:t xml:space="preserve"> </w:t>
      </w:r>
      <w:r>
        <w:t xml:space="preserve">capabilities and objectives; it does not mandate products, vendors or</w:t>
      </w:r>
      <w:r>
        <w:t xml:space="preserve"> </w:t>
      </w:r>
      <w:r>
        <w:t xml:space="preserve">topologies. The Program Guidebook gives agencies discretion to apply the</w:t>
      </w:r>
      <w:r>
        <w:t xml:space="preserve"> </w:t>
      </w:r>
      <w:r>
        <w:t xml:space="preserve">objectives at a level commensurate with the resources being protected,</w:t>
      </w:r>
      <w:r>
        <w:t xml:space="preserve"> </w:t>
      </w:r>
      <w:r>
        <w:t xml:space="preserve">and the Security Capabilities Catalog deliberately discarded the earlier</w:t>
      </w:r>
      <w:r>
        <w:t xml:space="preserve"> </w:t>
      </w:r>
      <w:r>
        <w:t xml:space="preserve">critical/recommended prioritization scheme.</w:t>
      </w:r>
    </w:p>
    <w:p>
      <w:pPr>
        <w:pStyle w:val="BodyText"/>
      </w:pPr>
      <w:r>
        <w:t xml:space="preserve">The core guidance comprises five volumes — Program Guidebook,</w:t>
      </w:r>
      <w:r>
        <w:t xml:space="preserve"> </w:t>
      </w:r>
      <w:r>
        <w:t xml:space="preserve">Reference Architecture, Security Capabilities Catalog, Use Case</w:t>
      </w:r>
      <w:r>
        <w:t xml:space="preserve"> </w:t>
      </w:r>
      <w:r>
        <w:t xml:space="preserve">Handbook, Service Provider Overlay Handbook — and four published use</w:t>
      </w:r>
      <w:r>
        <w:t xml:space="preserve"> </w:t>
      </w:r>
      <w:r>
        <w:t xml:space="preserve">cases:</w:t>
      </w:r>
      <w:r>
        <w:t xml:space="preserve"> </w:t>
      </w:r>
      <w:r>
        <w:rPr>
          <w:b/>
          <w:bCs/>
        </w:rPr>
        <w:t xml:space="preserve">Traditional, Branch Office, Remote User, Cloud.</w:t>
      </w:r>
      <w:r>
        <w:t xml:space="preserve"> </w:t>
      </w:r>
      <w:r>
        <w:t xml:space="preserve">There is no</w:t>
      </w:r>
      <w:r>
        <w:t xml:space="preserve"> </w:t>
      </w:r>
      <w:r>
        <w:t xml:space="preserve">“SASE use case.”</w:t>
      </w:r>
      <w:r>
        <w:t xml:space="preserve"> </w:t>
      </w:r>
      <w:r>
        <w:t xml:space="preserve">An agency deploying SASE at branch offices operates</w:t>
      </w:r>
      <w:r>
        <w:t xml:space="preserve"> </w:t>
      </w:r>
      <w:r>
        <w:t xml:space="preserve">under Branch Office and Cloud.</w:t>
      </w:r>
    </w:p>
    <w:p>
      <w:pPr>
        <w:pStyle w:val="BodyText"/>
      </w:pPr>
      <w:r>
        <w:rPr>
          <w:b/>
          <w:bCs/>
        </w:rPr>
        <w:t xml:space="preserve">CISA has, however, blessed SASE as a compliant path.</w:t>
      </w:r>
      <w:r>
        <w:t xml:space="preserve"> </w:t>
      </w:r>
      <w:r>
        <w:t xml:space="preserve">In June 2026</w:t>
      </w:r>
      <w:r>
        <w:t xml:space="preserve"> </w:t>
      </w:r>
      <w:r>
        <w:t xml:space="preserve">CISA published</w:t>
      </w:r>
      <w:r>
        <w:t xml:space="preserve"> </w:t>
      </w:r>
      <w:r>
        <w:rPr>
          <w:i/>
          <w:iCs/>
        </w:rPr>
        <w:t xml:space="preserve">The Journey to Zero Trust: Using Secure Access Service</w:t>
      </w:r>
      <w:r>
        <w:rPr>
          <w:i/>
          <w:iCs/>
        </w:rPr>
        <w:t xml:space="preserve"> </w:t>
      </w:r>
      <w:r>
        <w:rPr>
          <w:i/>
          <w:iCs/>
        </w:rPr>
        <w:t xml:space="preserve">Edge in a Modern TIC 3.0 Solution</w:t>
      </w:r>
      <w:r>
        <w:t xml:space="preserve">, issued as support for FCEB agencies</w:t>
      </w:r>
      <w:r>
        <w:t xml:space="preserve"> </w:t>
      </w:r>
      <w:r>
        <w:t xml:space="preserve">implementing zero trust architectures. It is guidance, not a requirement</w:t>
      </w:r>
      <w:r>
        <w:t xml:space="preserve"> </w:t>
      </w:r>
      <w:r>
        <w:t xml:space="preserve">— but it is the one place SASE is named in a federal document, and it</w:t>
      </w:r>
      <w:r>
        <w:t xml:space="preserve"> </w:t>
      </w:r>
      <w:r>
        <w:t xml:space="preserve">strengthens rather than weakens the descriptive-not-prescriptive</w:t>
      </w:r>
      <w:r>
        <w:t xml:space="preserve"> </w:t>
      </w:r>
      <w:r>
        <w:t xml:space="preserve">reading: SASE is now federally</w:t>
      </w:r>
      <w:r>
        <w:t xml:space="preserve"> </w:t>
      </w:r>
      <w:r>
        <w:rPr>
          <w:i/>
          <w:iCs/>
        </w:rPr>
        <w:t xml:space="preserve">permitted and described</w:t>
      </w:r>
      <w:r>
        <w:t xml:space="preserve">, and still</w:t>
      </w:r>
      <w:r>
        <w:t xml:space="preserve"> </w:t>
      </w:r>
      <w:r>
        <w:t xml:space="preserve">nowhere</w:t>
      </w:r>
      <w:r>
        <w:t xml:space="preserve"> </w:t>
      </w:r>
      <w:r>
        <w:rPr>
          <w:i/>
          <w:iCs/>
        </w:rPr>
        <w:t xml:space="preserve">required</w:t>
      </w:r>
      <w:r>
        <w:t xml:space="preserve">. Agencies working in this area should obtain and read</w:t>
      </w:r>
      <w:r>
        <w:t xml:space="preserve"> </w:t>
      </w:r>
      <w:r>
        <w:t xml:space="preserve">it directly.</w:t>
      </w:r>
    </w:p>
    <w:bookmarkEnd w:id="19"/>
    <w:bookmarkStart w:id="20" w:name="nothing-else-names-sase-or-sd-wan-either"/>
    <w:p>
      <w:pPr>
        <w:pStyle w:val="Heading2"/>
      </w:pPr>
      <w:r>
        <w:t xml:space="preserve">3.2 Nothing else names SASE or SD-WAN either</w:t>
      </w:r>
    </w:p>
    <w:p>
      <w:pPr>
        <w:pStyle w:val="FirstParagraph"/>
      </w:pPr>
      <w:r>
        <w:t xml:space="preserve">Checked and confirmed absent: OMB M-22-09, M-25-04, M-26-14, M-26-15,</w:t>
      </w:r>
      <w:r>
        <w:t xml:space="preserve"> </w:t>
      </w:r>
      <w:r>
        <w:t xml:space="preserve">M-26-05; CISA Zero Trust Maturity Model v2.0; the DoD Zero Trust</w:t>
      </w:r>
      <w:r>
        <w:t xml:space="preserve"> </w:t>
      </w:r>
      <w:r>
        <w:t xml:space="preserve">Strategy; EO 14306.</w:t>
      </w:r>
      <w:r>
        <w:t xml:space="preserve"> </w:t>
      </w:r>
      <w:r>
        <w:rPr>
          <w:b/>
          <w:bCs/>
        </w:rPr>
        <w:t xml:space="preserve">No federal instrument names SASE or SD-WAN as</w:t>
      </w:r>
      <w:r>
        <w:rPr>
          <w:b/>
          <w:bCs/>
        </w:rPr>
        <w:t xml:space="preserve"> </w:t>
      </w:r>
      <w:r>
        <w:rPr>
          <w:b/>
          <w:bCs/>
        </w:rPr>
        <w:t xml:space="preserve">required.</w:t>
      </w:r>
    </w:p>
    <w:p>
      <w:pPr>
        <w:pStyle w:val="BodyText"/>
      </w:pPr>
      <w:r>
        <w:t xml:space="preserve">M-22-09’s network pillar requires encrypted DNS</w:t>
      </w:r>
      <w:r>
        <w:t xml:space="preserve"> </w:t>
      </w:r>
      <w:r>
        <w:t xml:space="preserve">“wherever it is</w:t>
      </w:r>
      <w:r>
        <w:t xml:space="preserve"> </w:t>
      </w:r>
      <w:r>
        <w:t xml:space="preserve">technically supported,”</w:t>
      </w:r>
      <w:r>
        <w:t xml:space="preserve"> </w:t>
      </w:r>
      <w:r>
        <w:t xml:space="preserve">HTTPS</w:t>
      </w:r>
      <w:r>
        <w:t xml:space="preserve"> </w:t>
      </w:r>
      <w:r>
        <w:t xml:space="preserve">“for all web and application program</w:t>
      </w:r>
      <w:r>
        <w:t xml:space="preserve"> </w:t>
      </w:r>
      <w:r>
        <w:t xml:space="preserve">interface (API) traffic in their environment”</w:t>
      </w:r>
      <w:r>
        <w:t xml:space="preserve"> </w:t>
      </w:r>
      <w:r>
        <w:t xml:space="preserve">including internal</w:t>
      </w:r>
      <w:r>
        <w:t xml:space="preserve"> </w:t>
      </w:r>
      <w:r>
        <w:t xml:space="preserve">traffic, and a zero trust architecture plan describing the agency’s</w:t>
      </w:r>
      <w:r>
        <w:t xml:space="preserve"> </w:t>
      </w:r>
      <w:r>
        <w:t xml:space="preserve">approach to environmental isolation, submitted to OMB and CISA. Its</w:t>
      </w:r>
      <w:r>
        <w:t xml:space="preserve"> </w:t>
      </w:r>
      <w:r>
        <w:t xml:space="preserve">isolation requirement is a negative architectural constraint rather than</w:t>
      </w:r>
      <w:r>
        <w:t xml:space="preserve"> </w:t>
      </w:r>
      <w:r>
        <w:t xml:space="preserve">a technology:</w:t>
      </w:r>
      <w:r>
        <w:t xml:space="preserve"> </w:t>
      </w:r>
      <w:r>
        <w:rPr>
          <w:i/>
          <w:iCs/>
        </w:rPr>
        <w:t xml:space="preserve">“Agencies must move away from the practice of maintaining</w:t>
      </w:r>
      <w:r>
        <w:rPr>
          <w:i/>
          <w:iCs/>
        </w:rPr>
        <w:t xml:space="preserve"> </w:t>
      </w:r>
      <w:r>
        <w:rPr>
          <w:i/>
          <w:iCs/>
        </w:rPr>
        <w:t xml:space="preserve">a broad enterprise-wide network that allows enhanced visibility or</w:t>
      </w:r>
      <w:r>
        <w:rPr>
          <w:i/>
          <w:iCs/>
        </w:rPr>
        <w:t xml:space="preserve"> </w:t>
      </w:r>
      <w:r>
        <w:rPr>
          <w:i/>
          <w:iCs/>
        </w:rPr>
        <w:t xml:space="preserve">access to many distinct applications and enterprise functions.”</w:t>
      </w:r>
      <w:r>
        <w:t xml:space="preserve"> </w:t>
      </w:r>
      <w:r>
        <w:t xml:space="preserve">The</w:t>
      </w:r>
      <w:r>
        <w:t xml:space="preserve"> </w:t>
      </w:r>
      <w:r>
        <w:t xml:space="preserve">words</w:t>
      </w:r>
      <w:r>
        <w:t xml:space="preserve"> </w:t>
      </w:r>
      <w:r>
        <w:rPr>
          <w:i/>
          <w:iCs/>
        </w:rPr>
        <w:t xml:space="preserve">wide area network</w:t>
      </w:r>
      <w:r>
        <w:t xml:space="preserve">,</w:t>
      </w:r>
      <w:r>
        <w:t xml:space="preserve"> </w:t>
      </w:r>
      <w:r>
        <w:rPr>
          <w:i/>
          <w:iCs/>
        </w:rPr>
        <w:t xml:space="preserve">branch</w:t>
      </w:r>
      <w:r>
        <w:t xml:space="preserve">,</w:t>
      </w:r>
      <w:r>
        <w:t xml:space="preserve"> </w:t>
      </w:r>
      <w:r>
        <w:rPr>
          <w:i/>
          <w:iCs/>
        </w:rPr>
        <w:t xml:space="preserve">campus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remote site</w:t>
      </w:r>
      <w:r>
        <w:t xml:space="preserve"> </w:t>
      </w:r>
      <w:r>
        <w:t xml:space="preserve">do not</w:t>
      </w:r>
      <w:r>
        <w:t xml:space="preserve"> </w:t>
      </w:r>
      <w:r>
        <w:t xml:space="preserve">appear in it.</w:t>
      </w:r>
    </w:p>
    <w:p>
      <w:pPr>
        <w:pStyle w:val="BodyText"/>
      </w:pPr>
      <w:r>
        <w:t xml:space="preserve">CISA’s Zero Trust Maturity Model states its own status:</w:t>
      </w:r>
      <w:r>
        <w:t xml:space="preserve"> </w:t>
      </w:r>
      <w:r>
        <w:rPr>
          <w:i/>
          <w:iCs/>
        </w:rPr>
        <w:t xml:space="preserve">“This maturity</w:t>
      </w:r>
      <w:r>
        <w:rPr>
          <w:i/>
          <w:iCs/>
        </w:rPr>
        <w:t xml:space="preserve"> </w:t>
      </w:r>
      <w:r>
        <w:rPr>
          <w:i/>
          <w:iCs/>
        </w:rPr>
        <w:t xml:space="preserve">model should not be viewed as a strict set of requirements but as a</w:t>
      </w:r>
      <w:r>
        <w:rPr>
          <w:i/>
          <w:iCs/>
        </w:rPr>
        <w:t xml:space="preserve"> </w:t>
      </w:r>
      <w:r>
        <w:rPr>
          <w:i/>
          <w:iCs/>
        </w:rPr>
        <w:t xml:space="preserve">general guide.”</w:t>
      </w:r>
      <w:r>
        <w:t xml:space="preserve"> </w:t>
      </w:r>
      <w:r>
        <w:t xml:space="preserve">Its Networks pillar describes architectural properties</w:t>
      </w:r>
      <w:r>
        <w:t xml:space="preserve"> </w:t>
      </w:r>
      <w:r>
        <w:t xml:space="preserve">— micro-perimeters, service-specific interconnections — and names no</w:t>
      </w:r>
      <w:r>
        <w:t xml:space="preserve"> </w:t>
      </w:r>
      <w:r>
        <w:t xml:space="preserve">technology.</w:t>
      </w:r>
    </w:p>
    <w:bookmarkEnd w:id="20"/>
    <w:bookmarkStart w:id="21" w:name="Xa7645190b8d0a1bdab96d94f1e74b6fe7e49762"/>
    <w:p>
      <w:pPr>
        <w:pStyle w:val="Heading2"/>
      </w:pPr>
      <w:r>
        <w:t xml:space="preserve">3.3 But technology-neutral is not requirement-free</w:t>
      </w:r>
    </w:p>
    <w:p>
      <w:pPr>
        <w:pStyle w:val="FirstParagraph"/>
      </w:pPr>
      <w:r>
        <w:t xml:space="preserve">This is the correction to how the</w:t>
      </w:r>
      <w:r>
        <w:t xml:space="preserve"> </w:t>
      </w:r>
      <w:r>
        <w:t xml:space="preserve">“no mandate”</w:t>
      </w:r>
      <w:r>
        <w:t xml:space="preserve"> </w:t>
      </w:r>
      <w:r>
        <w:t xml:space="preserve">argument is usually made,</w:t>
      </w:r>
      <w:r>
        <w:t xml:space="preserve"> </w:t>
      </w:r>
      <w:r>
        <w:t xml:space="preserve">and it matters because four binding obligations land directly on branch</w:t>
      </w:r>
      <w:r>
        <w:t xml:space="preserve"> </w:t>
      </w:r>
      <w:r>
        <w:t xml:space="preserve">network equipment. None picks a product. All constrain what a branch can</w:t>
      </w:r>
      <w:r>
        <w:t xml:space="preserve"> </w:t>
      </w:r>
      <w:r>
        <w:t xml:space="preserve">look like.</w:t>
      </w:r>
    </w:p>
    <w:p>
      <w:pPr>
        <w:pStyle w:val="BodyText"/>
      </w:pPr>
      <w:r>
        <w:rPr>
          <w:b/>
          <w:bCs/>
        </w:rPr>
        <w:t xml:space="preserve">Egress DNS must route to CISA’s Protective DNS.</w:t>
      </w:r>
      <w:r>
        <w:t xml:space="preserve"> </w:t>
      </w:r>
      <w:r>
        <w:t xml:space="preserve">M-22-09 records this</w:t>
      </w:r>
      <w:r>
        <w:t xml:space="preserve"> </w:t>
      </w:r>
      <w:r>
        <w:t xml:space="preserve">as pre-existing —</w:t>
      </w:r>
      <w:r>
        <w:t xml:space="preserve"> </w:t>
      </w:r>
      <w:r>
        <w:rPr>
          <w:i/>
          <w:iCs/>
        </w:rPr>
        <w:t xml:space="preserve">“Agencies are already required to have DNS requests</w:t>
      </w:r>
      <w:r>
        <w:rPr>
          <w:i/>
          <w:iCs/>
        </w:rPr>
        <w:t xml:space="preserve"> </w:t>
      </w:r>
      <w:r>
        <w:rPr>
          <w:i/>
          <w:iCs/>
        </w:rPr>
        <w:t xml:space="preserve">routed through CISA-operated infrastructure”</w:t>
      </w:r>
      <w:r>
        <w:t xml:space="preserve"> </w:t>
      </w:r>
      <w:r>
        <w:t xml:space="preserve">— and CISA’s</w:t>
      </w:r>
      <w:r>
        <w:t xml:space="preserve"> </w:t>
      </w:r>
      <w:r>
        <w:rPr>
          <w:i/>
          <w:iCs/>
        </w:rPr>
        <w:t xml:space="preserve">Encrypted</w:t>
      </w:r>
      <w:r>
        <w:rPr>
          <w:i/>
          <w:iCs/>
        </w:rPr>
        <w:t xml:space="preserve"> </w:t>
      </w:r>
      <w:r>
        <w:rPr>
          <w:i/>
          <w:iCs/>
        </w:rPr>
        <w:t xml:space="preserve">DNS Implementation Guidance</w:t>
      </w:r>
      <w:r>
        <w:t xml:space="preserve"> </w:t>
      </w:r>
      <w:r>
        <w:t xml:space="preserve">states agencies must route all DNS traffic</w:t>
      </w:r>
      <w:r>
        <w:t xml:space="preserve"> </w:t>
      </w:r>
      <w:r>
        <w:t xml:space="preserve">leaving agency networks and devices to CISA’s Protective DNS</w:t>
      </w:r>
      <w:r>
        <w:t xml:space="preserve"> </w:t>
      </w:r>
      <w:r>
        <w:t xml:space="preserve">capabilities, from endpoints</w:t>
      </w:r>
      <w:r>
        <w:t xml:space="preserve"> </w:t>
      </w:r>
      <w:r>
        <w:t xml:space="preserve">“whether mobile, roaming, nomadic,</w:t>
      </w:r>
      <w:r>
        <w:t xml:space="preserve"> </w:t>
      </w:r>
      <w:r>
        <w:t xml:space="preserve">on-premises, or cloud deployed,”</w:t>
      </w:r>
      <w:r>
        <w:t xml:space="preserve"> </w:t>
      </w:r>
      <w:r>
        <w:t xml:space="preserve">must disable root hints on</w:t>
      </w:r>
      <w:r>
        <w:t xml:space="preserve"> </w:t>
      </w:r>
      <w:r>
        <w:t xml:space="preserve">agency-managed endpoints, and must permit external third-party resolvers</w:t>
      </w:r>
      <w:r>
        <w:t xml:space="preserve"> </w:t>
      </w:r>
      <w:r>
        <w:t xml:space="preserve">to be reached only from authorized internal DNS servers. The underlying</w:t>
      </w:r>
      <w:r>
        <w:t xml:space="preserve"> </w:t>
      </w:r>
      <w:r>
        <w:t xml:space="preserve">obligation is</w:t>
      </w:r>
      <w:r>
        <w:t xml:space="preserve"> </w:t>
      </w:r>
      <w:r>
        <w:rPr>
          <w:b/>
          <w:bCs/>
        </w:rPr>
        <w:t xml:space="preserve">statutory</w:t>
      </w:r>
      <w:r>
        <w:t xml:space="preserve"> </w:t>
      </w:r>
      <w:r>
        <w:t xml:space="preserve">— 6 U.S.C. § 663 note requires agency</w:t>
      </w:r>
      <w:r>
        <w:t xml:space="preserve"> </w:t>
      </w:r>
      <w:r>
        <w:t xml:space="preserve">heads to apply CISA’s capabilities to information travelling between an</w:t>
      </w:r>
      <w:r>
        <w:t xml:space="preserve"> </w:t>
      </w:r>
      <w:r>
        <w:t xml:space="preserve">agency system and any non-agency system — which makes it considerably</w:t>
      </w:r>
      <w:r>
        <w:t xml:space="preserve"> </w:t>
      </w:r>
      <w:r>
        <w:t xml:space="preserve">harder to waive than a memorandum. This is a genuine architectural</w:t>
      </w:r>
      <w:r>
        <w:t xml:space="preserve"> </w:t>
      </w:r>
      <w:r>
        <w:t xml:space="preserve">constraint: it dictates where a class of traffic must go. Section 4.5</w:t>
      </w:r>
      <w:r>
        <w:t xml:space="preserve"> </w:t>
      </w:r>
      <w:r>
        <w:t xml:space="preserve">covers what satisfies it.</w:t>
      </w:r>
    </w:p>
    <w:p>
      <w:pPr>
        <w:pStyle w:val="BodyText"/>
      </w:pPr>
      <w:r>
        <w:rPr>
          <w:b/>
          <w:bCs/>
        </w:rPr>
        <w:t xml:space="preserve">Internet-exposed management interfaces must be removed or fronted.</w:t>
      </w:r>
      <w:r>
        <w:t xml:space="preserve"> </w:t>
      </w:r>
      <w:r>
        <w:t xml:space="preserve">BOD 23-02 names the device classes explicitly —</w:t>
      </w:r>
      <w:r>
        <w:t xml:space="preserve"> </w:t>
      </w:r>
      <w:r>
        <w:rPr>
          <w:i/>
          <w:iCs/>
        </w:rPr>
        <w:t xml:space="preserve">“Routers, switches,</w:t>
      </w:r>
      <w:r>
        <w:rPr>
          <w:i/>
          <w:iCs/>
        </w:rPr>
        <w:t xml:space="preserve"> </w:t>
      </w:r>
      <w:r>
        <w:rPr>
          <w:i/>
          <w:iCs/>
        </w:rPr>
        <w:t xml:space="preserve">firewalls, VPN concentrators, proxies, load balancers, and out of band</w:t>
      </w:r>
      <w:r>
        <w:rPr>
          <w:i/>
          <w:iCs/>
        </w:rPr>
        <w:t xml:space="preserve"> </w:t>
      </w:r>
      <w:r>
        <w:rPr>
          <w:i/>
          <w:iCs/>
        </w:rPr>
        <w:t xml:space="preserve">server management interfaces”</w:t>
      </w:r>
      <w:r>
        <w:t xml:space="preserve"> </w:t>
      </w:r>
      <w:r>
        <w:t xml:space="preserve">— and the scope test is device class</w:t>
      </w:r>
      <w:r>
        <w:t xml:space="preserve"> </w:t>
      </w:r>
      <w:r>
        <w:t xml:space="preserve">plus internet accessibility, not location. A branch appliance with an</w:t>
      </w:r>
      <w:r>
        <w:t xml:space="preserve"> </w:t>
      </w:r>
      <w:r>
        <w:t xml:space="preserve">internet-reachable management plane is in scope. The required action</w:t>
      </w:r>
      <w:r>
        <w:t xml:space="preserve"> </w:t>
      </w:r>
      <w:r>
        <w:t xml:space="preserve">within 14 days is to restrict the interface to an internal enterprise</w:t>
      </w:r>
      <w:r>
        <w:t xml:space="preserve"> </w:t>
      </w:r>
      <w:r>
        <w:t xml:space="preserve">network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to</w:t>
      </w:r>
      <w:r>
        <w:t xml:space="preserve"> </w:t>
      </w:r>
      <w:r>
        <w:rPr>
          <w:i/>
          <w:iCs/>
        </w:rPr>
        <w:t xml:space="preserve">“deploy capabilities, as part of a Zero Trust</w:t>
      </w:r>
      <w:r>
        <w:rPr>
          <w:i/>
          <w:iCs/>
        </w:rPr>
        <w:t xml:space="preserve"> </w:t>
      </w:r>
      <w:r>
        <w:rPr>
          <w:i/>
          <w:iCs/>
        </w:rPr>
        <w:t xml:space="preserve">Architecture, that enforce access control to the interface through a</w:t>
      </w:r>
      <w:r>
        <w:rPr>
          <w:i/>
          <w:iCs/>
        </w:rPr>
        <w:t xml:space="preserve"> </w:t>
      </w:r>
      <w:r>
        <w:rPr>
          <w:i/>
          <w:iCs/>
        </w:rPr>
        <w:t xml:space="preserve">policy enforcement point separate from the interface itself (preferred</w:t>
      </w:r>
      <w:r>
        <w:rPr>
          <w:i/>
          <w:iCs/>
        </w:rPr>
        <w:t xml:space="preserve"> </w:t>
      </w:r>
      <w:r>
        <w:rPr>
          <w:i/>
          <w:iCs/>
        </w:rPr>
        <w:t xml:space="preserve">action).”</w:t>
      </w:r>
    </w:p>
    <w:p>
      <w:pPr>
        <w:pStyle w:val="BodyText"/>
      </w:pPr>
      <w:r>
        <w:rPr>
          <w:b/>
          <w:bCs/>
        </w:rPr>
        <w:t xml:space="preserve">End-of-support edge devices must be off the network by August 2027.</w:t>
      </w:r>
      <w:r>
        <w:t xml:space="preserve"> </w:t>
      </w:r>
      <w:r>
        <w:t xml:space="preserve">BOD 26-02 (5 February 2026) covers edge devices on FCEB networks —</w:t>
      </w:r>
      <w:r>
        <w:t xml:space="preserve"> </w:t>
      </w:r>
      <w:r>
        <w:t xml:space="preserve">routers, switches, firewalls, wireless access points, load balancers and</w:t>
      </w:r>
      <w:r>
        <w:t xml:space="preserve"> </w:t>
      </w:r>
      <w:r>
        <w:t xml:space="preserve">other traffic-handling components — that no longer receive vendor</w:t>
      </w:r>
      <w:r>
        <w:t xml:space="preserve"> </w:t>
      </w:r>
      <w:r>
        <w:t xml:space="preserve">firmware or security updates. Its milestones run from an inventory</w:t>
      </w:r>
      <w:r>
        <w:t xml:space="preserve"> </w:t>
      </w:r>
      <w:r>
        <w:t xml:space="preserve">against CISA’s end-of-service list, through decommissioning of devices</w:t>
      </w:r>
      <w:r>
        <w:t xml:space="preserve"> </w:t>
      </w:r>
      <w:r>
        <w:t xml:space="preserve">reaching end of service within the year, to removal of all</w:t>
      </w:r>
      <w:r>
        <w:t xml:space="preserve"> </w:t>
      </w:r>
      <w:r>
        <w:t xml:space="preserve">end-of-service devices at eighteen months and continuous discovery at</w:t>
      </w:r>
      <w:r>
        <w:t xml:space="preserve"> </w:t>
      </w:r>
      <w:r>
        <w:t xml:space="preserve">twenty-four.</w:t>
      </w:r>
      <w:r>
        <w:t xml:space="preserve"> </w:t>
      </w:r>
      <w:r>
        <w:rPr>
          <w:b/>
          <w:bCs/>
        </w:rPr>
        <w:t xml:space="preserve">This is a binding, dated obligation to replace physical</w:t>
      </w:r>
      <w:r>
        <w:rPr>
          <w:b/>
          <w:bCs/>
        </w:rPr>
        <w:t xml:space="preserve"> </w:t>
      </w:r>
      <w:r>
        <w:rPr>
          <w:b/>
          <w:bCs/>
        </w:rPr>
        <w:t xml:space="preserve">branch network hardware, and it is the most consequential item in this</w:t>
      </w:r>
      <w:r>
        <w:rPr>
          <w:b/>
          <w:bCs/>
        </w:rPr>
        <w:t xml:space="preserve"> </w:t>
      </w:r>
      <w:r>
        <w:rPr>
          <w:b/>
          <w:bCs/>
        </w:rPr>
        <w:t xml:space="preserve">section for an agency planning branch architecture.</w:t>
      </w:r>
      <w:r>
        <w:t xml:space="preserve"> </w:t>
      </w:r>
      <w:r>
        <w:t xml:space="preserve">Section 5.2</w:t>
      </w:r>
      <w:r>
        <w:t xml:space="preserve"> </w:t>
      </w:r>
      <w:r>
        <w:t xml:space="preserve">returns to it.</w:t>
      </w:r>
    </w:p>
    <w:p>
      <w:pPr>
        <w:pStyle w:val="BodyText"/>
      </w:pPr>
      <w:r>
        <w:rPr>
          <w:b/>
          <w:bCs/>
        </w:rPr>
        <w:t xml:space="preserve">Anything terminating TLS or IPsec must support post-quantum key</w:t>
      </w:r>
      <w:r>
        <w:rPr>
          <w:b/>
          <w:bCs/>
        </w:rPr>
        <w:t xml:space="preserve"> </w:t>
      </w:r>
      <w:r>
        <w:rPr>
          <w:b/>
          <w:bCs/>
        </w:rPr>
        <w:t xml:space="preserve">exchange.</w:t>
      </w:r>
      <w:r>
        <w:t xml:space="preserve"> </w:t>
      </w:r>
      <w:r>
        <w:t xml:space="preserve">M-26-15 (24 June 2026) states:</w:t>
      </w:r>
      <w:r>
        <w:t xml:space="preserve"> </w:t>
      </w:r>
      <w:r>
        <w:rPr>
          <w:i/>
          <w:iCs/>
        </w:rPr>
        <w:t xml:space="preserve">“All network infrastructure</w:t>
      </w:r>
      <w:r>
        <w:rPr>
          <w:i/>
          <w:iCs/>
        </w:rPr>
        <w:t xml:space="preserve"> </w:t>
      </w:r>
      <w:r>
        <w:rPr>
          <w:i/>
          <w:iCs/>
        </w:rPr>
        <w:t xml:space="preserve">that terminates TLS or IPsec sessions or other relevant</w:t>
      </w:r>
      <w:r>
        <w:rPr>
          <w:i/>
          <w:iCs/>
        </w:rPr>
        <w:t xml:space="preserve"> </w:t>
      </w:r>
      <w:r>
        <w:rPr>
          <w:i/>
          <w:iCs/>
        </w:rPr>
        <w:t xml:space="preserve">protocols—including firewalls, Virtual Private Network concentrators,</w:t>
      </w:r>
      <w:r>
        <w:rPr>
          <w:i/>
          <w:iCs/>
        </w:rPr>
        <w:t xml:space="preserve"> </w:t>
      </w:r>
      <w:r>
        <w:rPr>
          <w:i/>
          <w:iCs/>
        </w:rPr>
        <w:t xml:space="preserve">cloud gateways, and Application Programming Interface (API)</w:t>
      </w:r>
      <w:r>
        <w:rPr>
          <w:i/>
          <w:iCs/>
        </w:rPr>
        <w:t xml:space="preserve"> </w:t>
      </w:r>
      <w:r>
        <w:rPr>
          <w:i/>
          <w:iCs/>
        </w:rPr>
        <w:t xml:space="preserve">proxies—must be configured to support PQC-capable key exchanges that</w:t>
      </w:r>
      <w:r>
        <w:rPr>
          <w:i/>
          <w:iCs/>
        </w:rPr>
        <w:t xml:space="preserve"> </w:t>
      </w:r>
      <w:r>
        <w:rPr>
          <w:i/>
          <w:iCs/>
        </w:rPr>
        <w:t xml:space="preserve">utilize NIST PQC algorithms.”</w:t>
      </w:r>
      <w:r>
        <w:t xml:space="preserve"> </w:t>
      </w:r>
      <w:r>
        <w:t xml:space="preserve">It applies to systems agencies own or</w:t>
      </w:r>
      <w:r>
        <w:t xml:space="preserve"> </w:t>
      </w:r>
      <w:r>
        <w:t xml:space="preserve">operate and excludes national security systems. Migration plans were due</w:t>
      </w:r>
      <w:r>
        <w:t xml:space="preserve"> </w:t>
      </w:r>
      <w:r>
        <w:t xml:space="preserve">approximately October 2026; TLS 1.3 support is required no later than 2</w:t>
      </w:r>
      <w:r>
        <w:t xml:space="preserve"> </w:t>
      </w:r>
      <w:r>
        <w:t xml:space="preserve">January 2030 and prioritized systems are to have quantum risk mitigated</w:t>
      </w:r>
      <w:r>
        <w:t xml:space="preserve"> </w:t>
      </w:r>
      <w:r>
        <w:t xml:space="preserve">by 31 December 2030. Formally this is still a capability requirement</w:t>
      </w:r>
      <w:r>
        <w:t xml:space="preserve"> </w:t>
      </w:r>
      <w:r>
        <w:t xml:space="preserve">rather than a product mandate — but a branch VPN concentrator or</w:t>
      </w:r>
      <w:r>
        <w:t xml:space="preserve"> </w:t>
      </w:r>
      <w:r>
        <w:t xml:space="preserve">firewall that cannot perform ML-KEM will not satisfy it, and that is a</w:t>
      </w:r>
      <w:r>
        <w:t xml:space="preserve"> </w:t>
      </w:r>
      <w:r>
        <w:t xml:space="preserve">refresh decision.</w:t>
      </w:r>
    </w:p>
    <w:p>
      <w:pPr>
        <w:pStyle w:val="BodyText"/>
      </w:pPr>
      <w:r>
        <w:t xml:space="preserve">The right formulation for a programme document is therefore:</w:t>
      </w:r>
      <w:r>
        <w:t xml:space="preserve"> </w:t>
      </w:r>
      <w:r>
        <w:rPr>
          <w:i/>
          <w:iCs/>
        </w:rPr>
        <w:t xml:space="preserve">federal</w:t>
      </w:r>
      <w:r>
        <w:rPr>
          <w:i/>
          <w:iCs/>
        </w:rPr>
        <w:t xml:space="preserve"> </w:t>
      </w:r>
      <w:r>
        <w:rPr>
          <w:i/>
          <w:iCs/>
        </w:rPr>
        <w:t xml:space="preserve">policy is technology-neutral, and it is not requirement-free.</w:t>
      </w:r>
    </w:p>
    <w:bookmarkEnd w:id="21"/>
    <w:bookmarkStart w:id="22" w:name="the-dod-contrast-correctly-drawn"/>
    <w:p>
      <w:pPr>
        <w:pStyle w:val="Heading2"/>
      </w:pPr>
      <w:r>
        <w:t xml:space="preserve">3.4 The DoD contrast, correctly drawn</w:t>
      </w:r>
    </w:p>
    <w:p>
      <w:pPr>
        <w:pStyle w:val="FirstParagraph"/>
      </w:pPr>
      <w:r>
        <w:t xml:space="preserve">DoD is frequently cited as the prescriptive counterexample. It is —</w:t>
      </w:r>
      <w:r>
        <w:t xml:space="preserve"> </w:t>
      </w:r>
      <w:r>
        <w:t xml:space="preserve">but not in the way usually claimed. The DoD Zero Trust Strategy sets a</w:t>
      </w:r>
      <w:r>
        <w:t xml:space="preserve"> </w:t>
      </w:r>
      <w:r>
        <w:t xml:space="preserve">binding, dated capability deadline:</w:t>
      </w:r>
      <w:r>
        <w:t xml:space="preserve"> </w:t>
      </w:r>
      <w:r>
        <w:rPr>
          <w:i/>
          <w:iCs/>
        </w:rPr>
        <w:t xml:space="preserve">“Components must achieve the</w:t>
      </w:r>
      <w:r>
        <w:rPr>
          <w:i/>
          <w:iCs/>
        </w:rPr>
        <w:t xml:space="preserve"> </w:t>
      </w:r>
      <w:r>
        <w:rPr>
          <w:i/>
          <w:iCs/>
        </w:rPr>
        <w:t xml:space="preserve">intended Target level outcomes of each DoD Zero Trust Capability and</w:t>
      </w:r>
      <w:r>
        <w:rPr>
          <w:i/>
          <w:iCs/>
        </w:rPr>
        <w:t xml:space="preserve"> </w:t>
      </w:r>
      <w:r>
        <w:rPr>
          <w:i/>
          <w:iCs/>
        </w:rPr>
        <w:t xml:space="preserve">execution enabler no later than the end of FY2027”</w:t>
      </w:r>
      <w:r>
        <w:t xml:space="preserve"> </w:t>
      </w:r>
      <w:r>
        <w:t xml:space="preserve">— 91 Target Level</w:t>
      </w:r>
      <w:r>
        <w:t xml:space="preserve"> </w:t>
      </w:r>
      <w:r>
        <w:t xml:space="preserve">activities out of 152 total. That is far harder than anything civilian</w:t>
      </w:r>
      <w:r>
        <w:t xml:space="preserve"> </w:t>
      </w:r>
      <w:r>
        <w:t xml:space="preserve">agencies face.</w:t>
      </w:r>
    </w:p>
    <w:p>
      <w:pPr>
        <w:pStyle w:val="BodyText"/>
      </w:pPr>
      <w:r>
        <w:t xml:space="preserve">But the same strategy states:</w:t>
      </w:r>
      <w:r>
        <w:t xml:space="preserve"> </w:t>
      </w:r>
      <w:r>
        <w:rPr>
          <w:i/>
          <w:iCs/>
        </w:rPr>
        <w:t xml:space="preserve">“This ZT strategy does not mandate or</w:t>
      </w:r>
      <w:r>
        <w:rPr>
          <w:i/>
          <w:iCs/>
        </w:rPr>
        <w:t xml:space="preserve"> </w:t>
      </w:r>
      <w:r>
        <w:rPr>
          <w:i/>
          <w:iCs/>
        </w:rPr>
        <w:t xml:space="preserve">prescribe specific technologies or potential solutions.”</w:t>
      </w:r>
      <w:r>
        <w:t xml:space="preserve"> </w:t>
      </w:r>
      <w:r>
        <w:t xml:space="preserve">SD-WAN and</w:t>
      </w:r>
      <w:r>
        <w:t xml:space="preserve"> </w:t>
      </w:r>
      <w:r>
        <w:t xml:space="preserve">SASE do not appear in it. Where they do appear is DISA’s</w:t>
      </w:r>
      <w:r>
        <w:t xml:space="preserve"> </w:t>
      </w:r>
      <w:r>
        <w:rPr>
          <w:b/>
          <w:bCs/>
        </w:rPr>
        <w:t xml:space="preserve">Thunderdome</w:t>
      </w:r>
      <w:r>
        <w:t xml:space="preserve"> </w:t>
      </w:r>
      <w:r>
        <w:t xml:space="preserve">programme, whose elements include customer security stacks, SD-WAN, SASE</w:t>
      </w:r>
      <w:r>
        <w:t xml:space="preserve"> </w:t>
      </w:r>
      <w:r>
        <w:t xml:space="preserve">and application security stacks — and Thunderdome is DISA procuring</w:t>
      </w:r>
      <w:r>
        <w:t xml:space="preserve"> </w:t>
      </w:r>
      <w:r>
        <w:t xml:space="preserve">these technologies for its own network, not a mandate on anyone.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civilian-defense contrast is about bindingness and deadline, not about</w:t>
      </w:r>
      <w:r>
        <w:rPr>
          <w:b/>
          <w:bCs/>
        </w:rPr>
        <w:t xml:space="preserve"> </w:t>
      </w:r>
      <w:r>
        <w:rPr>
          <w:b/>
          <w:bCs/>
        </w:rPr>
        <w:t xml:space="preserve">technology prescription.</w:t>
      </w:r>
      <w:r>
        <w:t xml:space="preserve"> </w:t>
      </w:r>
      <w:r>
        <w:t xml:space="preserve">An agency drawing the contrast the other way</w:t>
      </w:r>
      <w:r>
        <w:t xml:space="preserve"> </w:t>
      </w:r>
      <w:r>
        <w:t xml:space="preserve">will be corrected.</w:t>
      </w:r>
    </w:p>
    <w:bookmarkEnd w:id="22"/>
    <w:bookmarkStart w:id="23" w:name="fedramp-does-not-constrain-routing"/>
    <w:p>
      <w:pPr>
        <w:pStyle w:val="Heading2"/>
      </w:pPr>
      <w:r>
        <w:t xml:space="preserve">3.5 FedRAMP does not constrain routing</w:t>
      </w:r>
    </w:p>
    <w:p>
      <w:pPr>
        <w:pStyle w:val="FirstParagraph"/>
      </w:pPr>
      <w:r>
        <w:t xml:space="preserve">FedRAMP authorizes cloud service offerings against NIST SP 800-53 Rev 5.</w:t>
      </w:r>
      <w:r>
        <w:t xml:space="preserve"> </w:t>
      </w:r>
      <w:r>
        <w:t xml:space="preserve">It governs the security posture of the service, not the topology used to</w:t>
      </w:r>
      <w:r>
        <w:t xml:space="preserve"> </w:t>
      </w:r>
      <w:r>
        <w:t xml:space="preserve">reach it. It does not prohibit SD-WAN, require hairpin routing, or</w:t>
      </w:r>
      <w:r>
        <w:t xml:space="preserve"> </w:t>
      </w:r>
      <w:r>
        <w:t xml:space="preserve">mandate any path. Where a network change is refused on stated FedRAMP</w:t>
      </w:r>
      <w:r>
        <w:t xml:space="preserve"> </w:t>
      </w:r>
      <w:r>
        <w:t xml:space="preserve">grounds, the question is:</w:t>
      </w:r>
      <w:r>
        <w:t xml:space="preserve"> </w:t>
      </w:r>
      <w:r>
        <w:rPr>
          <w:b/>
          <w:bCs/>
        </w:rPr>
        <w:t xml:space="preserve">name the control or control enhancement it</w:t>
      </w:r>
      <w:r>
        <w:rPr>
          <w:b/>
          <w:bCs/>
        </w:rPr>
        <w:t xml:space="preserve"> </w:t>
      </w:r>
      <w:r>
        <w:rPr>
          <w:b/>
          <w:bCs/>
        </w:rPr>
        <w:t xml:space="preserve">violates.</w:t>
      </w:r>
      <w:r>
        <w:t xml:space="preserve"> </w:t>
      </w:r>
      <w:r>
        <w:t xml:space="preserve">There is none.</w:t>
      </w:r>
    </w:p>
    <w:p>
      <w:pPr>
        <w:pStyle w:val="BodyText"/>
      </w:pPr>
      <w:r>
        <w:t xml:space="preserve">Two points of precision for packages. Do not cite a FedRAMP Moderate</w:t>
      </w:r>
      <w:r>
        <w:t xml:space="preserve"> </w:t>
      </w:r>
      <w:r>
        <w:t xml:space="preserve">control count — Notice 0013 (16 June 2026) removed most</w:t>
      </w:r>
      <w:r>
        <w:t xml:space="preserve"> </w:t>
      </w:r>
      <w:r>
        <w:t xml:space="preserve">FedRAMP-assigned parameter values and no revised counts have been</w:t>
      </w:r>
      <w:r>
        <w:t xml:space="preserve"> </w:t>
      </w:r>
      <w:r>
        <w:t xml:space="preserve">published. And note the vocabulary transition without overstating it:</w:t>
      </w:r>
      <w:r>
        <w:t xml:space="preserve"> </w:t>
      </w:r>
      <w:r>
        <w:t xml:space="preserve">under the Consolidated Rules for 2026,</w:t>
      </w:r>
      <w:r>
        <w:t xml:space="preserve"> </w:t>
      </w:r>
      <w:r>
        <w:t xml:space="preserve">“authorization”</w:t>
      </w:r>
      <w:r>
        <w:t xml:space="preserve"> </w:t>
      </w:r>
      <w:r>
        <w:t xml:space="preserve">becomes</w:t>
      </w:r>
      <w:r>
        <w:t xml:space="preserve"> </w:t>
      </w:r>
      <w:r>
        <w:t xml:space="preserve">“certification”</w:t>
      </w:r>
      <w:r>
        <w:t xml:space="preserve"> </w:t>
      </w:r>
      <w:r>
        <w:t xml:space="preserve">and impact levels become Certification Classes A–D,</w:t>
      </w:r>
      <w:r>
        <w:t xml:space="preserve"> </w:t>
      </w:r>
      <w:r>
        <w:t xml:space="preserve">with optional early adoption from 4 July 2026 and</w:t>
      </w:r>
      <w:r>
        <w:t xml:space="preserve"> </w:t>
      </w:r>
      <w:r>
        <w:rPr>
          <w:b/>
          <w:bCs/>
        </w:rPr>
        <w:t xml:space="preserve">mandatory adoption 1</w:t>
      </w:r>
      <w:r>
        <w:rPr>
          <w:b/>
          <w:bCs/>
        </w:rPr>
        <w:t xml:space="preserve"> </w:t>
      </w:r>
      <w:r>
        <w:rPr>
          <w:b/>
          <w:bCs/>
        </w:rPr>
        <w:t xml:space="preserve">January 2027</w:t>
      </w:r>
      <w:r>
        <w:t xml:space="preserve">; existing Rev 5 authorizations remain valid to at least</w:t>
      </w:r>
      <w:r>
        <w:t xml:space="preserve"> </w:t>
      </w:r>
      <w:r>
        <w:t xml:space="preserve">31 December 2028.</w:t>
      </w:r>
    </w:p>
    <w:bookmarkEnd w:id="23"/>
    <w:bookmarkStart w:id="24" w:name="your-own-control-assertions"/>
    <w:p>
      <w:pPr>
        <w:pStyle w:val="Heading2"/>
      </w:pPr>
      <w:r>
        <w:t xml:space="preserve">3.6 Your own control assertions</w:t>
      </w:r>
    </w:p>
    <w:p>
      <w:pPr>
        <w:pStyle w:val="FirstParagraph"/>
      </w:pPr>
      <w:r>
        <w:t xml:space="preserve">The obligations that bite hardest at the branch are the ones the agency</w:t>
      </w:r>
      <w:r>
        <w:t xml:space="preserve"> </w:t>
      </w:r>
      <w:r>
        <w:t xml:space="preserve">wrote into its own packages. Where a branch performs local internet</w:t>
      </w:r>
      <w:r>
        <w:t xml:space="preserve"> </w:t>
      </w:r>
      <w:r>
        <w:t xml:space="preserve">breakout, the branch is an external boundary, and four controls are</w:t>
      </w:r>
      <w:r>
        <w:t xml:space="preserve"> </w:t>
      </w:r>
      <w:r>
        <w:t xml:space="preserve">asserted about it:</w:t>
      </w:r>
      <w:r>
        <w:t xml:space="preserve"> </w:t>
      </w:r>
      <w:r>
        <w:rPr>
          <w:b/>
          <w:bCs/>
        </w:rPr>
        <w:t xml:space="preserve">SC-7(4)</w:t>
      </w:r>
      <w:r>
        <w:t xml:space="preserve">, requiring a managed interface for each</w:t>
      </w:r>
      <w:r>
        <w:t xml:space="preserve"> </w:t>
      </w:r>
      <w:r>
        <w:t xml:space="preserve">external telecommunication service, a documented traffic flow policy for</w:t>
      </w:r>
      <w:r>
        <w:t xml:space="preserve"> </w:t>
      </w:r>
      <w:r>
        <w:t xml:space="preserve">each, and protection of information transmitted across each interface;</w:t>
      </w:r>
      <w:r>
        <w:t xml:space="preserve"> </w:t>
      </w:r>
      <w:r>
        <w:rPr>
          <w:b/>
          <w:bCs/>
        </w:rPr>
        <w:t xml:space="preserve">SC-7(8)</w:t>
      </w:r>
      <w:r>
        <w:t xml:space="preserve">, routing internal traffic to external networks through</w:t>
      </w:r>
      <w:r>
        <w:t xml:space="preserve"> </w:t>
      </w:r>
      <w:r>
        <w:t xml:space="preserve">authenticated proxies at managed interfaces;</w:t>
      </w:r>
      <w:r>
        <w:t xml:space="preserve"> </w:t>
      </w:r>
      <w:r>
        <w:rPr>
          <w:b/>
          <w:bCs/>
        </w:rPr>
        <w:t xml:space="preserve">SI-4</w:t>
      </w:r>
      <w:r>
        <w:t xml:space="preserve">, detection of</w:t>
      </w:r>
      <w:r>
        <w:t xml:space="preserve"> </w:t>
      </w:r>
      <w:r>
        <w:t xml:space="preserve">attacks and indicators of attack; and</w:t>
      </w:r>
      <w:r>
        <w:t xml:space="preserve"> </w:t>
      </w:r>
      <w:r>
        <w:rPr>
          <w:b/>
          <w:bCs/>
        </w:rPr>
        <w:t xml:space="preserve">CA-7</w:t>
      </w:r>
      <w:r>
        <w:t xml:space="preserve">, continuous monitoring,</w:t>
      </w:r>
      <w:r>
        <w:t xml:space="preserve"> </w:t>
      </w:r>
      <w:r>
        <w:t xml:space="preserve">alongside the logging obligations under M-26-14, which requires</w:t>
      </w:r>
      <w:r>
        <w:t xml:space="preserve"> </w:t>
      </w:r>
      <w:r>
        <w:t xml:space="preserve">collection of</w:t>
      </w:r>
      <w:r>
        <w:t xml:space="preserve"> </w:t>
      </w:r>
      <w:r>
        <w:rPr>
          <w:i/>
          <w:iCs/>
        </w:rPr>
        <w:t xml:space="preserve">“source and destination network address information,</w:t>
      </w:r>
      <w:r>
        <w:rPr>
          <w:i/>
          <w:iCs/>
        </w:rPr>
        <w:t xml:space="preserve"> </w:t>
      </w:r>
      <w:r>
        <w:rPr>
          <w:i/>
          <w:iCs/>
        </w:rPr>
        <w:t xml:space="preserve">including protocols, ports, and session attributes.”</w:t>
      </w:r>
    </w:p>
    <w:p>
      <w:pPr>
        <w:pStyle w:val="BodyText"/>
      </w:pPr>
      <w:r>
        <w:t xml:space="preserve">That is the honest form of the architectural argument: not that policy</w:t>
      </w:r>
      <w:r>
        <w:t xml:space="preserve"> </w:t>
      </w:r>
      <w:r>
        <w:t xml:space="preserve">compels a branch-edge layer, but that an agency asserting these controls</w:t>
      </w:r>
      <w:r>
        <w:t xml:space="preserve"> </w:t>
      </w:r>
      <w:r>
        <w:t xml:space="preserve">at a branch with nothing there will struggle to produce the evidence,</w:t>
      </w:r>
      <w:r>
        <w:t xml:space="preserve"> </w:t>
      </w:r>
      <w:r>
        <w:t xml:space="preserve">and will discover it at assessment time.</w:t>
      </w:r>
    </w:p>
    <w:bookmarkEnd w:id="24"/>
    <w:bookmarkEnd w:id="25"/>
    <w:bookmarkStart w:id="32" w:name="Xf2e91390471674640c0f56673f2d38639ba1f8d"/>
    <w:p>
      <w:pPr>
        <w:pStyle w:val="Heading1"/>
      </w:pPr>
      <w:r>
        <w:t xml:space="preserve">4. The encryption requirement that is not there</w:t>
      </w:r>
    </w:p>
    <w:bookmarkStart w:id="26" w:name="what-is-required"/>
    <w:p>
      <w:pPr>
        <w:pStyle w:val="Heading2"/>
      </w:pPr>
      <w:r>
        <w:t xml:space="preserve">4.1 What is required</w:t>
      </w:r>
    </w:p>
    <w:p>
      <w:pPr>
        <w:pStyle w:val="FirstParagraph"/>
      </w:pPr>
      <w:r>
        <w:rPr>
          <w:b/>
          <w:bCs/>
        </w:rPr>
        <w:t xml:space="preserve">SC-8, Transmission Confidentiality and Integrity</w:t>
      </w:r>
      <w:r>
        <w:t xml:space="preserve"> </w:t>
      </w:r>
      <w:r>
        <w:t xml:space="preserve">— Moderate and</w:t>
      </w:r>
      <w:r>
        <w:t xml:space="preserve"> </w:t>
      </w:r>
      <w:r>
        <w:t xml:space="preserve">High baselines — requires protection of the confidentiality or</w:t>
      </w:r>
      <w:r>
        <w:t xml:space="preserve"> </w:t>
      </w:r>
      <w:r>
        <w:t xml:space="preserve">integrity of transmitted information. Its discussion applies this to</w:t>
      </w:r>
      <w:r>
        <w:t xml:space="preserve"> </w:t>
      </w:r>
      <w:r>
        <w:t xml:space="preserve">“internal and external networks”</w:t>
      </w:r>
      <w:r>
        <w:t xml:space="preserve"> </w:t>
      </w:r>
      <w:r>
        <w:t xml:space="preserve">and states how it may be satisfied:</w:t>
      </w:r>
      <w:r>
        <w:t xml:space="preserve"> </w:t>
      </w:r>
      <w:r>
        <w:rPr>
          <w:i/>
          <w:iCs/>
        </w:rPr>
        <w:t xml:space="preserve">“Protecting the confidentiality and integrity of information can be</w:t>
      </w:r>
      <w:r>
        <w:rPr>
          <w:i/>
          <w:iCs/>
        </w:rPr>
        <w:t xml:space="preserve"> </w:t>
      </w:r>
      <w:r>
        <w:rPr>
          <w:i/>
          <w:iCs/>
        </w:rPr>
        <w:t xml:space="preserve">accomplished by physical or logical means. Physical protection can be</w:t>
      </w:r>
      <w:r>
        <w:rPr>
          <w:i/>
          <w:iCs/>
        </w:rPr>
        <w:t xml:space="preserve"> </w:t>
      </w:r>
      <w:r>
        <w:rPr>
          <w:i/>
          <w:iCs/>
        </w:rPr>
        <w:t xml:space="preserve">achieved by using protected distribution systems… Logical protection</w:t>
      </w:r>
      <w:r>
        <w:rPr>
          <w:i/>
          <w:iCs/>
        </w:rPr>
        <w:t xml:space="preserve"> </w:t>
      </w:r>
      <w:r>
        <w:rPr>
          <w:i/>
          <w:iCs/>
        </w:rPr>
        <w:t xml:space="preserve">can be achieved by employing encryption techniques.”</w:t>
      </w:r>
    </w:p>
    <w:p>
      <w:pPr>
        <w:pStyle w:val="BodyText"/>
      </w:pPr>
      <w:r>
        <w:rPr>
          <w:b/>
          <w:bCs/>
        </w:rPr>
        <w:t xml:space="preserve">SC-8(1), Cryptographic Protection</w:t>
      </w:r>
      <w:r>
        <w:t xml:space="preserve"> </w:t>
      </w:r>
      <w:r>
        <w:t xml:space="preserve">— also Moderate and High —</w:t>
      </w:r>
      <w:r>
        <w:t xml:space="preserve"> </w:t>
      </w:r>
      <w:r>
        <w:t xml:space="preserve">requires cryptographic mechanisms to prevent disclosure or detect</w:t>
      </w:r>
      <w:r>
        <w:t xml:space="preserve"> </w:t>
      </w:r>
      <w:r>
        <w:t xml:space="preserve">changes during transmission. Its discussion names them:</w:t>
      </w:r>
      <w:r>
        <w:t xml:space="preserve"> </w:t>
      </w:r>
      <w:r>
        <w:rPr>
          <w:i/>
          <w:iCs/>
        </w:rPr>
        <w:t xml:space="preserve">“Cryptographic</w:t>
      </w:r>
      <w:r>
        <w:rPr>
          <w:i/>
          <w:iCs/>
        </w:rPr>
        <w:t xml:space="preserve"> </w:t>
      </w:r>
      <w:r>
        <w:rPr>
          <w:i/>
          <w:iCs/>
        </w:rPr>
        <w:t xml:space="preserve">mechanisms that protect the confidentiality and integrity of information</w:t>
      </w:r>
      <w:r>
        <w:rPr>
          <w:i/>
          <w:iCs/>
        </w:rPr>
        <w:t xml:space="preserve"> </w:t>
      </w:r>
      <w:r>
        <w:rPr>
          <w:i/>
          <w:iCs/>
        </w:rPr>
        <w:t xml:space="preserve">during transmission include TLS and IPSec.”</w:t>
      </w:r>
      <w:r>
        <w:t xml:space="preserve"> </w:t>
      </w:r>
      <w:r>
        <w:t xml:space="preserve">Coequal. Nothing requires</w:t>
      </w:r>
      <w:r>
        <w:t xml:space="preserve"> </w:t>
      </w:r>
      <w:r>
        <w:t xml:space="preserve">both.</w:t>
      </w:r>
    </w:p>
    <w:p>
      <w:pPr>
        <w:pStyle w:val="BodyText"/>
      </w:pPr>
      <w:r>
        <w:rPr>
          <w:b/>
          <w:bCs/>
        </w:rPr>
        <w:t xml:space="preserve">SC-13</w:t>
      </w:r>
      <w:r>
        <w:t xml:space="preserve"> </w:t>
      </w:r>
      <w:r>
        <w:t xml:space="preserve">is in all three baselines and is a selection control: the</w:t>
      </w:r>
      <w:r>
        <w:t xml:space="preserve"> </w:t>
      </w:r>
      <w:r>
        <w:t xml:space="preserve">agency determines the cryptographic uses and types. Its normative text</w:t>
      </w:r>
      <w:r>
        <w:t xml:space="preserve"> </w:t>
      </w:r>
      <w:r>
        <w:t xml:space="preserve">does not require FIPS validation; that obligation flows from FIPS 140 as</w:t>
      </w:r>
      <w:r>
        <w:t xml:space="preserve"> </w:t>
      </w:r>
      <w:r>
        <w:t xml:space="preserve">a mandatory FISMA standard and, for cloud, from FedRAMP policy.</w:t>
      </w:r>
    </w:p>
    <w:p>
      <w:pPr>
        <w:pStyle w:val="BodyText"/>
      </w:pPr>
      <w:r>
        <w:rPr>
          <w:b/>
          <w:bCs/>
        </w:rPr>
        <w:t xml:space="preserve">M-22-09</w:t>
      </w:r>
      <w:r>
        <w:t xml:space="preserve"> </w:t>
      </w:r>
      <w:r>
        <w:t xml:space="preserve">requires encrypted DNS where technically supported and HTTPS</w:t>
      </w:r>
      <w:r>
        <w:t xml:space="preserve"> </w:t>
      </w:r>
      <w:r>
        <w:t xml:space="preserve">for all web and API traffic including internal. Email encryption is</w:t>
      </w:r>
      <w:r>
        <w:t xml:space="preserve"> </w:t>
      </w:r>
      <w:r>
        <w:t xml:space="preserve">explicitly not mandated.</w:t>
      </w:r>
      <w:r>
        <w:t xml:space="preserve"> </w:t>
      </w:r>
      <w:r>
        <w:rPr>
          <w:b/>
          <w:bCs/>
        </w:rPr>
        <w:t xml:space="preserve">EO 14028 §3(d)</w:t>
      </w:r>
      <w:r>
        <w:t xml:space="preserve"> </w:t>
      </w:r>
      <w:r>
        <w:t xml:space="preserve">required adoption of</w:t>
      </w:r>
      <w:r>
        <w:t xml:space="preserve"> </w:t>
      </w:r>
      <w:r>
        <w:t xml:space="preserve">encryption in transit</w:t>
      </w:r>
      <w:r>
        <w:t xml:space="preserve"> </w:t>
      </w:r>
      <w:r>
        <w:t xml:space="preserve">“to the maximum extent consistent with Federal</w:t>
      </w:r>
      <w:r>
        <w:t xml:space="preserve"> </w:t>
      </w:r>
      <w:r>
        <w:t xml:space="preserve">records laws and other applicable laws,”</w:t>
      </w:r>
      <w:r>
        <w:t xml:space="preserve"> </w:t>
      </w:r>
      <w:r>
        <w:t xml:space="preserve">naming no protocol, layer or</w:t>
      </w:r>
      <w:r>
        <w:t xml:space="preserve"> </w:t>
      </w:r>
      <w:r>
        <w:t xml:space="preserve">standard.</w:t>
      </w:r>
      <w:r>
        <w:t xml:space="preserve"> </w:t>
      </w:r>
      <w:r>
        <w:rPr>
          <w:b/>
          <w:bCs/>
        </w:rPr>
        <w:t xml:space="preserve">BOD 18-01</w:t>
      </w:r>
      <w:r>
        <w:t xml:space="preserve"> </w:t>
      </w:r>
      <w:r>
        <w:t xml:space="preserve">requires HTTPS and HSTS on publicly accessible</w:t>
      </w:r>
      <w:r>
        <w:t xml:space="preserve"> </w:t>
      </w:r>
      <w:r>
        <w:t xml:space="preserve">federal sites and STARTTLS on internet-facing mail servers —</w:t>
      </w:r>
      <w:r>
        <w:t xml:space="preserve"> </w:t>
      </w:r>
      <w:r>
        <w:t xml:space="preserve">public-facing scope only.</w:t>
      </w:r>
    </w:p>
    <w:p>
      <w:pPr>
        <w:pStyle w:val="BodyText"/>
      </w:pPr>
      <w:r>
        <w:rPr>
          <w:b/>
          <w:bCs/>
        </w:rPr>
        <w:t xml:space="preserve">TLS versions.</w:t>
      </w:r>
      <w:r>
        <w:t xml:space="preserve"> </w:t>
      </w:r>
      <w:r>
        <w:t xml:space="preserve">NIST SP 800-52 Rev 2 states agencies</w:t>
      </w:r>
      <w:r>
        <w:t xml:space="preserve"> </w:t>
      </w:r>
      <w:r>
        <w:rPr>
          <w:i/>
          <w:iCs/>
        </w:rPr>
        <w:t xml:space="preserve">“shall support</w:t>
      </w:r>
      <w:r>
        <w:rPr>
          <w:i/>
          <w:iCs/>
        </w:rPr>
        <w:t xml:space="preserve"> </w:t>
      </w:r>
      <w:r>
        <w:rPr>
          <w:i/>
          <w:iCs/>
        </w:rPr>
        <w:t xml:space="preserve">TLS 1.3 by January 1, 2024.”</w:t>
      </w:r>
      <w:r>
        <w:t xml:space="preserve"> </w:t>
      </w:r>
      <w:r>
        <w:t xml:space="preserve">M-26-15 requires TLS 1.3 or a successor</w:t>
      </w:r>
      <w:r>
        <w:t xml:space="preserve"> </w:t>
      </w:r>
      <w:r>
        <w:t xml:space="preserve">“not later than January 2, 2030.”</w:t>
      </w:r>
      <w:r>
        <w:t xml:space="preserve"> </w:t>
      </w:r>
      <w:r>
        <w:rPr>
          <w:b/>
          <w:bCs/>
        </w:rPr>
        <w:t xml:space="preserve">These are different requirements and</w:t>
      </w:r>
      <w:r>
        <w:rPr>
          <w:b/>
          <w:bCs/>
        </w:rPr>
        <w:t xml:space="preserve"> </w:t>
      </w:r>
      <w:r>
        <w:rPr>
          <w:b/>
          <w:bCs/>
        </w:rPr>
        <w:t xml:space="preserve">the later date is not a relaxation of the earlier one</w:t>
      </w:r>
      <w:r>
        <w:t xml:space="preserve"> </w:t>
      </w:r>
      <w:r>
        <w:t xml:space="preserve">— 2030 is a</w:t>
      </w:r>
      <w:r>
        <w:t xml:space="preserve"> </w:t>
      </w:r>
      <w:r>
        <w:t xml:space="preserve">post-quantum readiness deadline. An agency citing 2030 to justify TLS</w:t>
      </w:r>
      <w:r>
        <w:t xml:space="preserve"> </w:t>
      </w:r>
      <w:r>
        <w:t xml:space="preserve">1.2-only servers today is out of step with SP 800-52 Rev 2, which has</w:t>
      </w:r>
      <w:r>
        <w:t xml:space="preserve"> </w:t>
      </w:r>
      <w:r>
        <w:t xml:space="preserve">applied since the start of 2024.</w:t>
      </w:r>
    </w:p>
    <w:bookmarkEnd w:id="26"/>
    <w:bookmarkStart w:id="27" w:name="what-is-not-required"/>
    <w:p>
      <w:pPr>
        <w:pStyle w:val="Heading2"/>
      </w:pPr>
      <w:r>
        <w:t xml:space="preserve">4.2 What is not required</w:t>
      </w:r>
    </w:p>
    <w:p>
      <w:pPr>
        <w:pStyle w:val="FirstParagraph"/>
      </w:pPr>
      <w:r>
        <w:rPr>
          <w:b/>
          <w:bCs/>
        </w:rPr>
        <w:t xml:space="preserve">No federal instrument requires the WAN transport itself to be</w:t>
      </w:r>
      <w:r>
        <w:rPr>
          <w:b/>
          <w:bCs/>
        </w:rPr>
        <w:t xml:space="preserve"> </w:t>
      </w:r>
      <w:r>
        <w:rPr>
          <w:b/>
          <w:bCs/>
        </w:rPr>
        <w:t xml:space="preserve">encrypted where the payload is already protected end to end.</w:t>
      </w:r>
      <w:r>
        <w:t xml:space="preserve"> </w:t>
      </w:r>
      <w:r>
        <w:t xml:space="preserve">Four</w:t>
      </w:r>
      <w:r>
        <w:t xml:space="preserve"> </w:t>
      </w:r>
      <w:r>
        <w:t xml:space="preserve">independent lines of evidence:</w:t>
      </w:r>
    </w:p>
    <w:p>
      <w:pPr>
        <w:pStyle w:val="BodyText"/>
      </w:pPr>
      <w:r>
        <w:rPr>
          <w:b/>
          <w:bCs/>
        </w:rPr>
        <w:t xml:space="preserve">The controls that would require it are unbaselined.</w:t>
      </w:r>
      <w:r>
        <w:t xml:space="preserve"> </w:t>
      </w:r>
      <w:r>
        <w:t xml:space="preserve">SC-8(3),</w:t>
      </w:r>
      <w:r>
        <w:t xml:space="preserve"> </w:t>
      </w:r>
      <w:r>
        <w:rPr>
          <w:i/>
          <w:iCs/>
        </w:rPr>
        <w:t xml:space="preserve">Cryptographic Protection for Message Externals</w:t>
      </w:r>
      <w:r>
        <w:t xml:space="preserve">, covers</w:t>
      </w:r>
      <w:r>
        <w:t xml:space="preserve"> </w:t>
      </w:r>
      <w:r>
        <w:t xml:space="preserve">“message</w:t>
      </w:r>
      <w:r>
        <w:t xml:space="preserve"> </w:t>
      </w:r>
      <w:r>
        <w:t xml:space="preserve">headers and routing information”</w:t>
      </w:r>
      <w:r>
        <w:t xml:space="preserve"> </w:t>
      </w:r>
      <w:r>
        <w:t xml:space="preserve">— precisely what application-layer</w:t>
      </w:r>
      <w:r>
        <w:t xml:space="preserve"> </w:t>
      </w:r>
      <w:r>
        <w:t xml:space="preserve">TLS cannot protect. SC-8(4) covers traffic-pattern concealment.</w:t>
      </w:r>
      <w:r>
        <w:t xml:space="preserve"> </w:t>
      </w:r>
      <w:r>
        <w:rPr>
          <w:b/>
          <w:bCs/>
        </w:rPr>
        <w:t xml:space="preserve">Neither appears in the Low, Moderate or High baseline.</w:t>
      </w:r>
      <w:r>
        <w:t xml:space="preserve"> </w:t>
      </w:r>
      <w:r>
        <w:t xml:space="preserve">If policy</w:t>
      </w:r>
      <w:r>
        <w:t xml:space="preserve"> </w:t>
      </w:r>
      <w:r>
        <w:t xml:space="preserve">intended to require protection beyond the payload, SC-8(3) is where it</w:t>
      </w:r>
      <w:r>
        <w:t xml:space="preserve"> </w:t>
      </w:r>
      <w:r>
        <w:t xml:space="preserve">would live.</w:t>
      </w:r>
    </w:p>
    <w:p>
      <w:pPr>
        <w:pStyle w:val="BodyText"/>
      </w:pPr>
      <w:r>
        <w:rPr>
          <w:b/>
          <w:bCs/>
        </w:rPr>
        <w:t xml:space="preserve">SC-8 can be satisfied without any encryption.</w:t>
      </w:r>
      <w:r>
        <w:t xml:space="preserve"> </w:t>
      </w:r>
      <w:r>
        <w:t xml:space="preserve">A protected</w:t>
      </w:r>
      <w:r>
        <w:t xml:space="preserve"> </w:t>
      </w:r>
      <w:r>
        <w:t xml:space="preserve">distribution system satisfies it. If a physical alternative suffices, a</w:t>
      </w:r>
      <w:r>
        <w:t xml:space="preserve"> </w:t>
      </w:r>
      <w:r>
        <w:t xml:space="preserve">tunnel is not compelled.</w:t>
      </w:r>
    </w:p>
    <w:p>
      <w:pPr>
        <w:pStyle w:val="BodyText"/>
      </w:pPr>
      <w:r>
        <w:rPr>
          <w:b/>
          <w:bCs/>
        </w:rPr>
        <w:t xml:space="preserve">The assessment procedure is layer-blind.</w:t>
      </w:r>
      <w:r>
        <w:t xml:space="preserve"> </w:t>
      </w:r>
      <w:r>
        <w:t xml:space="preserve">The SP 800-53A objective</w:t>
      </w:r>
      <w:r>
        <w:t xml:space="preserve"> </w:t>
      </w:r>
      <w:r>
        <w:t xml:space="preserve">for SC-8(1) asks only that cryptographic mechanisms are implemented</w:t>
      </w:r>
      <w:r>
        <w:t xml:space="preserve"> </w:t>
      </w:r>
      <w:r>
        <w:t xml:space="preserve">during transmission, and its assessment objects include mechanisms</w:t>
      </w:r>
      <w:r>
        <w:t xml:space="preserve"> </w:t>
      </w:r>
      <w:r>
        <w:t xml:space="preserve">implementing alternative physical safeguards.</w:t>
      </w:r>
    </w:p>
    <w:p>
      <w:pPr>
        <w:pStyle w:val="BodyText"/>
      </w:pPr>
      <w:r>
        <w:rPr>
          <w:b/>
          <w:bCs/>
        </w:rPr>
        <w:t xml:space="preserve">FedRAMP treats a second layer as optional and unregulated.</w:t>
      </w:r>
      <w:r>
        <w:t xml:space="preserve"> </w:t>
      </w:r>
      <w:r>
        <w:t xml:space="preserve">FedRAMP’s</w:t>
      </w:r>
      <w:r>
        <w:t xml:space="preserve"> </w:t>
      </w:r>
      <w:r>
        <w:t xml:space="preserve">cryptographic module policy states that where a provider elects a second</w:t>
      </w:r>
      <w:r>
        <w:t xml:space="preserve"> </w:t>
      </w:r>
      <w:r>
        <w:t xml:space="preserve">encryption layer, that layer may use unvalidated modules — coherent</w:t>
      </w:r>
      <w:r>
        <w:t xml:space="preserve"> </w:t>
      </w:r>
      <w:r>
        <w:t xml:space="preserve">only if one compliant layer suffices.</w:t>
      </w:r>
    </w:p>
    <w:p>
      <w:pPr>
        <w:pStyle w:val="BodyText"/>
      </w:pPr>
      <w:r>
        <w:t xml:space="preserve">M-22-09 confines its operative network actions to DNS and HTTP and says</w:t>
      </w:r>
      <w:r>
        <w:t xml:space="preserve"> </w:t>
      </w:r>
      <w:r>
        <w:t xml:space="preserve">so:</w:t>
      </w:r>
      <w:r>
        <w:t xml:space="preserve"> </w:t>
      </w:r>
      <w:r>
        <w:rPr>
          <w:i/>
          <w:iCs/>
        </w:rPr>
        <w:t xml:space="preserve">“This strategy focuses agencies on two critical and widely used</w:t>
      </w:r>
      <w:r>
        <w:rPr>
          <w:i/>
          <w:iCs/>
        </w:rPr>
        <w:t xml:space="preserve"> </w:t>
      </w:r>
      <w:r>
        <w:rPr>
          <w:i/>
          <w:iCs/>
        </w:rPr>
        <w:t xml:space="preserve">protocols in the near-term, DNS and HTTP traffic.”</w:t>
      </w:r>
      <w:r>
        <w:t xml:space="preserve"> </w:t>
      </w:r>
      <w:r>
        <w:t xml:space="preserve">Its executive</w:t>
      </w:r>
      <w:r>
        <w:t xml:space="preserve"> </w:t>
      </w:r>
      <w:r>
        <w:t xml:space="preserve">summary sentence —</w:t>
      </w:r>
      <w:r>
        <w:t xml:space="preserve"> </w:t>
      </w:r>
      <w:r>
        <w:rPr>
          <w:i/>
          <w:iCs/>
        </w:rPr>
        <w:t xml:space="preserve">“All traffic must be encrypted and authenticated</w:t>
      </w:r>
      <w:r>
        <w:rPr>
          <w:i/>
          <w:iCs/>
        </w:rPr>
        <w:t xml:space="preserve"> </w:t>
      </w:r>
      <w:r>
        <w:rPr>
          <w:i/>
          <w:iCs/>
        </w:rPr>
        <w:t xml:space="preserve">as soon as practicable”</w:t>
      </w:r>
      <w:r>
        <w:t xml:space="preserve"> </w:t>
      </w:r>
      <w:r>
        <w:t xml:space="preserve">— is routinely quoted as a mandate for</w:t>
      </w:r>
      <w:r>
        <w:t xml:space="preserve"> </w:t>
      </w:r>
      <w:r>
        <w:t xml:space="preserve">encrypted transport. It is a vision statement, and the memorandum’s own</w:t>
      </w:r>
      <w:r>
        <w:t xml:space="preserve"> </w:t>
      </w:r>
      <w:r>
        <w:t xml:space="preserve">actions do not reach WAN transport as a category.</w:t>
      </w:r>
    </w:p>
    <w:bookmarkEnd w:id="27"/>
    <w:bookmarkStart w:id="28" w:name="what-this-means-in-practice"/>
    <w:p>
      <w:pPr>
        <w:pStyle w:val="Heading2"/>
      </w:pPr>
      <w:r>
        <w:t xml:space="preserve">4.3 What this means in practice</w:t>
      </w:r>
    </w:p>
    <w:p>
      <w:pPr>
        <w:pStyle w:val="FirstParagraph"/>
      </w:pPr>
      <w:r>
        <w:t xml:space="preserve">An agency whose branch traffic is TLS-protected end to end using</w:t>
      </w:r>
      <w:r>
        <w:t xml:space="preserve"> </w:t>
      </w:r>
      <w:r>
        <w:t xml:space="preserve">validated modules, whose egress DNS reaches CISA’s Protective DNS, with</w:t>
      </w:r>
      <w:r>
        <w:t xml:space="preserve"> </w:t>
      </w:r>
      <w:r>
        <w:t xml:space="preserve">a documented managed interface and traffic flow policy at each external</w:t>
      </w:r>
      <w:r>
        <w:t xml:space="preserve"> </w:t>
      </w:r>
      <w:r>
        <w:t xml:space="preserve">telecommunication service under SC-7(4), has a defensible SC-8, SC-8(1)</w:t>
      </w:r>
      <w:r>
        <w:t xml:space="preserve"> </w:t>
      </w:r>
      <w:r>
        <w:t xml:space="preserve">and SC-7(4) implementation</w:t>
      </w:r>
      <w:r>
        <w:t xml:space="preserve"> </w:t>
      </w:r>
      <w:r>
        <w:rPr>
          <w:b/>
          <w:bCs/>
        </w:rPr>
        <w:t xml:space="preserve">with no overlay anywhere in it.</w:t>
      </w:r>
    </w:p>
    <w:p>
      <w:pPr>
        <w:pStyle w:val="BodyText"/>
      </w:pPr>
      <w:r>
        <w:t xml:space="preserve">The residual exposure is real and no baselined control names it:</w:t>
      </w:r>
      <w:r>
        <w:t xml:space="preserve"> </w:t>
      </w:r>
      <w:r>
        <w:t xml:space="preserve">destination addresses, SNI and unencrypted DNS names, packet sizes and</w:t>
      </w:r>
      <w:r>
        <w:t xml:space="preserve"> </w:t>
      </w:r>
      <w:r>
        <w:t xml:space="preserve">timing, routing metadata. An overlay addresses that. It is a defensible</w:t>
      </w:r>
      <w:r>
        <w:t xml:space="preserve"> </w:t>
      </w:r>
      <w:r>
        <w:t xml:space="preserve">risk decision. It is not a compliance obligation, and an agency should</w:t>
      </w:r>
      <w:r>
        <w:t xml:space="preserve"> </w:t>
      </w:r>
      <w:r>
        <w:t xml:space="preserve">not budget on the basis that it is.</w:t>
      </w:r>
    </w:p>
    <w:bookmarkEnd w:id="28"/>
    <w:bookmarkStart w:id="29" w:name="X6c5cf979bb1c080d780143d53b5db1386155faa"/>
    <w:p>
      <w:pPr>
        <w:pStyle w:val="Heading2"/>
      </w:pPr>
      <w:r>
        <w:t xml:space="preserve">4.4 Where the encryption argument is genuinely load-bearing</w:t>
      </w:r>
    </w:p>
    <w:p>
      <w:pPr>
        <w:pStyle w:val="FirstParagraph"/>
      </w:pPr>
      <w:r>
        <w:rPr>
          <w:b/>
          <w:bCs/>
        </w:rPr>
        <w:t xml:space="preserve">SC-8(1) applies to the information, not the protocol.</w:t>
      </w:r>
      <w:r>
        <w:t xml:space="preserve"> </w:t>
      </w:r>
      <w:r>
        <w:t xml:space="preserve">A cleartext</w:t>
      </w:r>
      <w:r>
        <w:t xml:space="preserve"> </w:t>
      </w:r>
      <w:r>
        <w:t xml:space="preserve">protocol carrying in-scope information across an unprotected path is an</w:t>
      </w:r>
      <w:r>
        <w:t xml:space="preserve"> </w:t>
      </w:r>
      <w:r>
        <w:t xml:space="preserve">SC-8 finding whatever the transport looks like — and for those flows</w:t>
      </w:r>
      <w:r>
        <w:t xml:space="preserve"> </w:t>
      </w:r>
      <w:r>
        <w:t xml:space="preserve">an overlay is frequently the only practical remedy, because the</w:t>
      </w:r>
      <w:r>
        <w:t xml:space="preserve"> </w:t>
      </w:r>
      <w:r>
        <w:t xml:space="preserve">application cannot be changed.</w:t>
      </w:r>
    </w:p>
    <w:p>
      <w:pPr>
        <w:pStyle w:val="BodyText"/>
      </w:pPr>
      <w:r>
        <w:t xml:space="preserve">Supporting controls:</w:t>
      </w:r>
      <w:r>
        <w:t xml:space="preserve"> </w:t>
      </w:r>
      <w:r>
        <w:rPr>
          <w:b/>
          <w:bCs/>
        </w:rPr>
        <w:t xml:space="preserve">CM-7(1)</w:t>
      </w:r>
      <w:r>
        <w:t xml:space="preserve">, Moderate and High, requires periodic</w:t>
      </w:r>
      <w:r>
        <w:t xml:space="preserve"> </w:t>
      </w:r>
      <w:r>
        <w:t xml:space="preserve">review to identify unnecessary and nonsecure functions, ports, protocols</w:t>
      </w:r>
      <w:r>
        <w:t xml:space="preserve"> </w:t>
      </w:r>
      <w:r>
        <w:t xml:space="preserve">and services, and disabling or removal of those the organization deems</w:t>
      </w:r>
      <w:r>
        <w:t xml:space="preserve"> </w:t>
      </w:r>
      <w:r>
        <w:t xml:space="preserve">unnecessary — its discussion names FTP among unsecure protocols.</w:t>
      </w:r>
      <w:r>
        <w:t xml:space="preserve"> </w:t>
      </w:r>
      <w:r>
        <w:rPr>
          <w:b/>
          <w:bCs/>
        </w:rPr>
        <w:t xml:space="preserve">AC-4</w:t>
      </w:r>
      <w:r>
        <w:t xml:space="preserve">, Moderate and High, whose discussion includes</w:t>
      </w:r>
      <w:r>
        <w:t xml:space="preserve"> </w:t>
      </w:r>
      <w:r>
        <w:rPr>
          <w:i/>
          <w:iCs/>
        </w:rPr>
        <w:t xml:space="preserve">“keeping</w:t>
      </w:r>
      <w:r>
        <w:rPr>
          <w:i/>
          <w:iCs/>
        </w:rPr>
        <w:t xml:space="preserve"> </w:t>
      </w:r>
      <w:r>
        <w:rPr>
          <w:i/>
          <w:iCs/>
        </w:rPr>
        <w:t xml:space="preserve">export-controlled information from being transmitted in the clear to the</w:t>
      </w:r>
      <w:r>
        <w:rPr>
          <w:i/>
          <w:iCs/>
        </w:rPr>
        <w:t xml:space="preserve"> </w:t>
      </w:r>
      <w:r>
        <w:rPr>
          <w:i/>
          <w:iCs/>
        </w:rPr>
        <w:t xml:space="preserve">Internet.”</w:t>
      </w:r>
    </w:p>
    <w:p>
      <w:pPr>
        <w:pStyle w:val="BodyText"/>
      </w:pPr>
      <w:r>
        <w:rPr>
          <w:b/>
          <w:bCs/>
        </w:rPr>
        <w:t xml:space="preserve">The interim action: inventory the cleartext protocols crossing branch</w:t>
      </w:r>
      <w:r>
        <w:rPr>
          <w:b/>
          <w:bCs/>
        </w:rPr>
        <w:t xml:space="preserve"> </w:t>
      </w:r>
      <w:r>
        <w:rPr>
          <w:b/>
          <w:bCs/>
        </w:rPr>
        <w:t xml:space="preserve">WAN links and treat that inventory as an SC-8 exposure register.</w:t>
      </w:r>
      <w:r>
        <w:t xml:space="preserve"> </w:t>
      </w:r>
      <w:r>
        <w:t xml:space="preserve">Cleartext LDAP, SMB, FTP, telnet, unencrypted database traffic and</w:t>
      </w:r>
      <w:r>
        <w:t xml:space="preserve"> </w:t>
      </w:r>
      <w:r>
        <w:t xml:space="preserve">legacy line-of-business protocols are where the absence of transport</w:t>
      </w:r>
      <w:r>
        <w:t xml:space="preserve"> </w:t>
      </w:r>
      <w:r>
        <w:t xml:space="preserve">encryption is a real finding rather than a theoretical one. Three</w:t>
      </w:r>
      <w:r>
        <w:t xml:space="preserve"> </w:t>
      </w:r>
      <w:r>
        <w:t xml:space="preserve">dispositions per entry: encrypt at the application, tunnel that flow</w:t>
      </w:r>
      <w:r>
        <w:t xml:space="preserve"> </w:t>
      </w:r>
      <w:r>
        <w:t xml:space="preserve">specifically, or retire it. A point-to-point tunnel for three legacy</w:t>
      </w:r>
      <w:r>
        <w:t xml:space="preserve"> </w:t>
      </w:r>
      <w:r>
        <w:t xml:space="preserve">flows is a small piece of work and the highest-value encryption action</w:t>
      </w:r>
      <w:r>
        <w:t xml:space="preserve"> </w:t>
      </w:r>
      <w:r>
        <w:t xml:space="preserve">available without an overlay.</w:t>
      </w:r>
    </w:p>
    <w:bookmarkEnd w:id="29"/>
    <w:bookmarkStart w:id="30" w:name="Xe4668834c89bd78e9385b66600633d25ebe6449"/>
    <w:p>
      <w:pPr>
        <w:pStyle w:val="Heading2"/>
      </w:pPr>
      <w:r>
        <w:t xml:space="preserve">4.5 DNS: what a DDI platform does and does not satisfy</w:t>
      </w:r>
    </w:p>
    <w:p>
      <w:pPr>
        <w:pStyle w:val="FirstParagraph"/>
      </w:pPr>
      <w:r>
        <w:t xml:space="preserve">The Protective DNS obligation is the one hard external-path mandate, and</w:t>
      </w:r>
      <w:r>
        <w:t xml:space="preserve"> </w:t>
      </w:r>
      <w:r>
        <w:t xml:space="preserve">it raises a practical question: does deploying an enterprise DDI</w:t>
      </w:r>
      <w:r>
        <w:t xml:space="preserve"> </w:t>
      </w:r>
      <w:r>
        <w:t xml:space="preserve">platform — Infoblox or equivalent — satisfy it?</w:t>
      </w:r>
    </w:p>
    <w:p>
      <w:pPr>
        <w:pStyle w:val="BodyText"/>
      </w:pPr>
      <w:r>
        <w:rPr>
          <w:b/>
          <w:bCs/>
        </w:rPr>
        <w:t xml:space="preserve">Partly, and in a specific way: it satisfies the second half of the</w:t>
      </w:r>
      <w:r>
        <w:rPr>
          <w:b/>
          <w:bCs/>
        </w:rPr>
        <w:t xml:space="preserve"> </w:t>
      </w:r>
      <w:r>
        <w:rPr>
          <w:b/>
          <w:bCs/>
        </w:rPr>
        <w:t xml:space="preserve">requirement and not the first.</w:t>
      </w:r>
      <w:r>
        <w:t xml:space="preserve"> </w:t>
      </w:r>
      <w:r>
        <w:t xml:space="preserve">The obligation has two parts. Egress</w:t>
      </w:r>
      <w:r>
        <w:t xml:space="preserve"> </w:t>
      </w:r>
      <w:r>
        <w:t xml:space="preserve">DNS must reach CISA’s Protective DNS resolvers, and external third-party</w:t>
      </w:r>
      <w:r>
        <w:t xml:space="preserve"> </w:t>
      </w:r>
      <w:r>
        <w:t xml:space="preserve">resolvers must be reachable only from authorized internal DNS servers. A</w:t>
      </w:r>
      <w:r>
        <w:t xml:space="preserve"> </w:t>
      </w:r>
      <w:r>
        <w:t xml:space="preserve">DDI platform is what gives an agency the authorized internal DNS</w:t>
      </w:r>
      <w:r>
        <w:t xml:space="preserve"> </w:t>
      </w:r>
      <w:r>
        <w:t xml:space="preserve">servers, the control point at which root hints are disabled, the ability</w:t>
      </w:r>
      <w:r>
        <w:t xml:space="preserve"> </w:t>
      </w:r>
      <w:r>
        <w:t xml:space="preserve">to enforce that endpoints resolve only through it, and — under M-22-09</w:t>
      </w:r>
      <w:r>
        <w:t xml:space="preserve"> </w:t>
      </w:r>
      <w:r>
        <w:t xml:space="preserve">— support for encrypted DNS transport. Those are real and they are</w:t>
      </w:r>
      <w:r>
        <w:t xml:space="preserve"> </w:t>
      </w:r>
      <w:r>
        <w:t xml:space="preserve">hard to do well without such a platform.</w:t>
      </w:r>
    </w:p>
    <w:p>
      <w:pPr>
        <w:pStyle w:val="BodyText"/>
      </w:pPr>
      <w:r>
        <w:t xml:space="preserve">What it does not do is replace CISA’s resolvers.</w:t>
      </w:r>
      <w:r>
        <w:t xml:space="preserve"> </w:t>
      </w:r>
      <w:r>
        <w:rPr>
          <w:b/>
          <w:bCs/>
        </w:rPr>
        <w:t xml:space="preserve">The compliant pattern</w:t>
      </w:r>
      <w:r>
        <w:rPr>
          <w:b/>
          <w:bCs/>
        </w:rPr>
        <w:t xml:space="preserve"> </w:t>
      </w:r>
      <w:r>
        <w:rPr>
          <w:b/>
          <w:bCs/>
        </w:rPr>
        <w:t xml:space="preserve">is: endpoints → agency internal resolvers → forward egress to CISA</w:t>
      </w:r>
      <w:r>
        <w:rPr>
          <w:b/>
          <w:bCs/>
        </w:rPr>
        <w:t xml:space="preserve"> </w:t>
      </w:r>
      <w:r>
        <w:rPr>
          <w:b/>
          <w:bCs/>
        </w:rPr>
        <w:t xml:space="preserve">Protective DNS.</w:t>
      </w:r>
      <w:r>
        <w:t xml:space="preserve"> </w:t>
      </w:r>
      <w:r>
        <w:t xml:space="preserve">The platform is the enforcement point in front of the</w:t>
      </w:r>
      <w:r>
        <w:t xml:space="preserve"> </w:t>
      </w:r>
      <w:r>
        <w:t xml:space="preserve">mandate, not a substitute for it.</w:t>
      </w:r>
    </w:p>
    <w:p>
      <w:pPr>
        <w:pStyle w:val="BodyText"/>
      </w:pPr>
      <w:r>
        <w:rPr>
          <w:b/>
          <w:bCs/>
        </w:rPr>
        <w:t xml:space="preserve">The trap worth naming explicitly</w:t>
      </w:r>
      <w:r>
        <w:t xml:space="preserve">, because it is easy to configure by</w:t>
      </w:r>
      <w:r>
        <w:t xml:space="preserve"> </w:t>
      </w:r>
      <w:r>
        <w:t xml:space="preserve">accident: a DDI vendor’s own protective-DNS or threat-intelligence</w:t>
      </w:r>
      <w:r>
        <w:t xml:space="preserve"> </w:t>
      </w:r>
      <w:r>
        <w:t xml:space="preserve">service is architecturally the same shape as CISA’s, and a deployment</w:t>
      </w:r>
      <w:r>
        <w:t xml:space="preserve"> </w:t>
      </w:r>
      <w:r>
        <w:t xml:space="preserve">that forwards egress queries to the</w:t>
      </w:r>
      <w:r>
        <w:t xml:space="preserve"> </w:t>
      </w:r>
      <w:r>
        <w:rPr>
          <w:i/>
          <w:iCs/>
        </w:rPr>
        <w:t xml:space="preserve">vendor’s</w:t>
      </w:r>
      <w:r>
        <w:t xml:space="preserve"> </w:t>
      </w:r>
      <w:r>
        <w:t xml:space="preserve">cloud resolvers rather</w:t>
      </w:r>
      <w:r>
        <w:t xml:space="preserve"> </w:t>
      </w:r>
      <w:r>
        <w:t xml:space="preserve">than to CISA’s satisfies the vendor’s product design and breaches the</w:t>
      </w:r>
      <w:r>
        <w:t xml:space="preserve"> </w:t>
      </w:r>
      <w:r>
        <w:t xml:space="preserve">federal requirement. The same applies to endpoint agents that establish</w:t>
      </w:r>
      <w:r>
        <w:t xml:space="preserve"> </w:t>
      </w:r>
      <w:r>
        <w:t xml:space="preserve">DNS-over-TLS or DNS-over-HTTPS sessions directly from the client to a</w:t>
      </w:r>
      <w:r>
        <w:t xml:space="preserve"> </w:t>
      </w:r>
      <w:r>
        <w:t xml:space="preserve">vendor cloud, bypassing the agency’s own resolvers entirely — that is</w:t>
      </w:r>
      <w:r>
        <w:t xml:space="preserve"> </w:t>
      </w:r>
      <w:r>
        <w:t xml:space="preserve">precisely the configuration CISA’s guidance forbids when it requires</w:t>
      </w:r>
      <w:r>
        <w:t xml:space="preserve"> </w:t>
      </w:r>
      <w:r>
        <w:t xml:space="preserve">root hints disabled and third-party resolvers reachable only from</w:t>
      </w:r>
      <w:r>
        <w:t xml:space="preserve"> </w:t>
      </w:r>
      <w:r>
        <w:t xml:space="preserve">authorized internal servers. An agency deploying a DDI platform should</w:t>
      </w:r>
      <w:r>
        <w:t xml:space="preserve"> </w:t>
      </w:r>
      <w:r>
        <w:t xml:space="preserve">confirm in the design documentation, and test in the running estate,</w:t>
      </w:r>
      <w:r>
        <w:t xml:space="preserve"> </w:t>
      </w:r>
      <w:r>
        <w:t xml:space="preserve">that egress resolution terminates at CISA and that no endpoint agent has</w:t>
      </w:r>
      <w:r>
        <w:t xml:space="preserve"> </w:t>
      </w:r>
      <w:r>
        <w:t xml:space="preserve">its own independent path. Vendor threat intelligence applied</w:t>
      </w:r>
      <w:r>
        <w:t xml:space="preserve"> </w:t>
      </w:r>
      <w:r>
        <w:rPr>
          <w:i/>
          <w:iCs/>
        </w:rPr>
        <w:t xml:space="preserve">at the</w:t>
      </w:r>
      <w:r>
        <w:rPr>
          <w:i/>
          <w:iCs/>
        </w:rPr>
        <w:t xml:space="preserve"> </w:t>
      </w:r>
      <w:r>
        <w:rPr>
          <w:i/>
          <w:iCs/>
        </w:rPr>
        <w:t xml:space="preserve">internal resolver</w:t>
      </w:r>
      <w:r>
        <w:t xml:space="preserve">, with egress still forwarded to CISA, is compatible;</w:t>
      </w:r>
      <w:r>
        <w:t xml:space="preserve"> </w:t>
      </w:r>
      <w:r>
        <w:t xml:space="preserve">vendor cloud resolution</w:t>
      </w:r>
      <w:r>
        <w:t xml:space="preserve"> </w:t>
      </w:r>
      <w:r>
        <w:rPr>
          <w:i/>
          <w:iCs/>
        </w:rPr>
        <w:t xml:space="preserve">instead of</w:t>
      </w:r>
      <w:r>
        <w:t xml:space="preserve"> </w:t>
      </w:r>
      <w:r>
        <w:t xml:space="preserve">CISA is not.</w:t>
      </w:r>
    </w:p>
    <w:p>
      <w:pPr>
        <w:pStyle w:val="BodyText"/>
      </w:pPr>
      <w:r>
        <w:t xml:space="preserve">This is worth a discrete verification task rather than an assumption,</w:t>
      </w:r>
      <w:r>
        <w:t xml:space="preserve"> </w:t>
      </w:r>
      <w:r>
        <w:t xml:space="preserve">because the failure is silent — resolution works, users notice</w:t>
      </w:r>
      <w:r>
        <w:t xml:space="preserve"> </w:t>
      </w:r>
      <w:r>
        <w:t xml:space="preserve">nothing, and the only symptom is that agency queries are not reaching</w:t>
      </w:r>
      <w:r>
        <w:t xml:space="preserve"> </w:t>
      </w:r>
      <w:r>
        <w:t xml:space="preserve">CISA.</w:t>
      </w:r>
    </w:p>
    <w:bookmarkEnd w:id="30"/>
    <w:bookmarkStart w:id="31" w:name="one-date-inside-this-quarter"/>
    <w:p>
      <w:pPr>
        <w:pStyle w:val="Heading2"/>
      </w:pPr>
      <w:r>
        <w:t xml:space="preserve">4.6 One date inside this quarter</w:t>
      </w:r>
    </w:p>
    <w:p>
      <w:pPr>
        <w:pStyle w:val="FirstParagraph"/>
      </w:pPr>
      <w:r>
        <w:rPr>
          <w:b/>
          <w:bCs/>
        </w:rPr>
        <w:t xml:space="preserve">On 22 September 2026, all FIPS 140-2 certificates move to the CMVP</w:t>
      </w:r>
      <w:r>
        <w:rPr>
          <w:b/>
          <w:bCs/>
        </w:rPr>
        <w:t xml:space="preserve"> </w:t>
      </w:r>
      <w:r>
        <w:rPr>
          <w:b/>
          <w:bCs/>
        </w:rPr>
        <w:t xml:space="preserve">Historical List.</w:t>
      </w:r>
      <w:r>
        <w:t xml:space="preserve"> </w:t>
      </w:r>
      <w:r>
        <w:t xml:space="preserve">CMVP supports continued use of these modules in</w:t>
      </w:r>
      <w:r>
        <w:t xml:space="preserve"> </w:t>
      </w:r>
      <w:r>
        <w:t xml:space="preserve">existing systems and agencies set their own transition timelines, so</w:t>
      </w:r>
      <w:r>
        <w:t xml:space="preserve"> </w:t>
      </w:r>
      <w:r>
        <w:t xml:space="preserve">this is not a cliff. It is the item in this section with a date inside</w:t>
      </w:r>
      <w:r>
        <w:t xml:space="preserve"> </w:t>
      </w:r>
      <w:r>
        <w:t xml:space="preserve">the current quarter, and it affects exactly the equipment an agency</w:t>
      </w:r>
      <w:r>
        <w:t xml:space="preserve"> </w:t>
      </w:r>
      <w:r>
        <w:t xml:space="preserve">would be evaluating. Acquisition documents written now should state the</w:t>
      </w:r>
      <w:r>
        <w:t xml:space="preserve"> </w:t>
      </w:r>
      <w:r>
        <w:t xml:space="preserve">validation expectation explicitly rather than inheriting it —</w:t>
      </w:r>
      <w:r>
        <w:t xml:space="preserve"> </w:t>
      </w:r>
      <w:r>
        <w:t xml:space="preserve">particularly given M-26-15’s post-quantum requirement arriving on the</w:t>
      </w:r>
      <w:r>
        <w:t xml:space="preserve"> </w:t>
      </w:r>
      <w:r>
        <w:t xml:space="preserve">same equipment.</w:t>
      </w:r>
    </w:p>
    <w:bookmarkEnd w:id="31"/>
    <w:bookmarkEnd w:id="32"/>
    <w:bookmarkStart w:id="35" w:name="Xe4a91a3fe9e90fa63e88afe1a3c756f15728982"/>
    <w:p>
      <w:pPr>
        <w:pStyle w:val="Heading1"/>
      </w:pPr>
      <w:r>
        <w:t xml:space="preserve">5. Why both are a long way off — and the one thing pulling a piece of it forward</w:t>
      </w:r>
    </w:p>
    <w:bookmarkStart w:id="33" w:name="the-structural-reasons"/>
    <w:p>
      <w:pPr>
        <w:pStyle w:val="Heading2"/>
      </w:pPr>
      <w:r>
        <w:t xml:space="preserve">5.1 The structural reasons</w:t>
      </w:r>
    </w:p>
    <w:p>
      <w:pPr>
        <w:pStyle w:val="FirstParagraph"/>
      </w:pPr>
      <w:r>
        <w:rPr>
          <w:b/>
          <w:bCs/>
        </w:rPr>
        <w:t xml:space="preserve">Acquisition.</w:t>
      </w:r>
      <w:r>
        <w:t xml:space="preserve"> </w:t>
      </w:r>
      <w:r>
        <w:t xml:space="preserve">A branch-edge programme is an EIS task order or a</w:t>
      </w:r>
      <w:r>
        <w:t xml:space="preserve"> </w:t>
      </w:r>
      <w:r>
        <w:t xml:space="preserve">competed acquisition. Requirements, market research, solicitation,</w:t>
      </w:r>
      <w:r>
        <w:t xml:space="preserve"> </w:t>
      </w:r>
      <w:r>
        <w:t xml:space="preserve">evaluation and award is a multi-quarter process before a device ships,</w:t>
      </w:r>
      <w:r>
        <w:t xml:space="preserve"> </w:t>
      </w:r>
      <w:r>
        <w:t xml:space="preserve">competing for the same contracting staff as everything else.</w:t>
      </w:r>
    </w:p>
    <w:p>
      <w:pPr>
        <w:pStyle w:val="BodyText"/>
      </w:pPr>
      <w:r>
        <w:rPr>
          <w:b/>
          <w:bCs/>
        </w:rPr>
        <w:t xml:space="preserve">Budget cycle.</w:t>
      </w:r>
      <w:r>
        <w:t xml:space="preserve"> </w:t>
      </w:r>
      <w:r>
        <w:t xml:space="preserve">Federal budgets are formulated roughly two years ahead</w:t>
      </w:r>
      <w:r>
        <w:t xml:space="preserve"> </w:t>
      </w:r>
      <w:r>
        <w:t xml:space="preserve">of execution. A programme conceived now is a FY28 execution item unless</w:t>
      </w:r>
      <w:r>
        <w:t xml:space="preserve"> </w:t>
      </w:r>
      <w:r>
        <w:t xml:space="preserve">absorbed into existing operations and maintenance, which a capital</w:t>
      </w:r>
      <w:r>
        <w:t xml:space="preserve"> </w:t>
      </w:r>
      <w:r>
        <w:t xml:space="preserve">refresh across hundreds of sites generally cannot be.</w:t>
      </w:r>
    </w:p>
    <w:p>
      <w:pPr>
        <w:pStyle w:val="BodyText"/>
      </w:pPr>
      <w:r>
        <w:rPr>
          <w:b/>
          <w:bCs/>
        </w:rPr>
        <w:t xml:space="preserve">Site count and field logistics.</w:t>
      </w:r>
      <w:r>
        <w:t xml:space="preserve"> </w:t>
      </w:r>
      <w:r>
        <w:t xml:space="preserve">An agency with a thousand or more</w:t>
      </w:r>
      <w:r>
        <w:t xml:space="preserve"> </w:t>
      </w:r>
      <w:r>
        <w:t xml:space="preserve">branches is running a multi-year deployment on physical logistics alone.</w:t>
      </w:r>
    </w:p>
    <w:p>
      <w:pPr>
        <w:pStyle w:val="BodyText"/>
      </w:pPr>
      <w:r>
        <w:rPr>
          <w:b/>
          <w:bCs/>
        </w:rPr>
        <w:t xml:space="preserve">Authorization.</w:t>
      </w:r>
      <w:r>
        <w:t xml:space="preserve"> </w:t>
      </w:r>
      <w:r>
        <w:t xml:space="preserve">A new device class at every branch changes the</w:t>
      </w:r>
      <w:r>
        <w:t xml:space="preserve"> </w:t>
      </w:r>
      <w:r>
        <w:t xml:space="preserve">boundary described in existing packages. That is assessment work, on the</w:t>
      </w:r>
      <w:r>
        <w:t xml:space="preserve"> </w:t>
      </w:r>
      <w:r>
        <w:t xml:space="preserve">same security staff.</w:t>
      </w:r>
    </w:p>
    <w:p>
      <w:pPr>
        <w:pStyle w:val="BodyText"/>
      </w:pPr>
      <w:r>
        <w:rPr>
          <w:b/>
          <w:bCs/>
        </w:rPr>
        <w:t xml:space="preserve">TIC 3.0 adoption is not a purchase.</w:t>
      </w:r>
      <w:r>
        <w:t xml:space="preserve"> </w:t>
      </w:r>
      <w:r>
        <w:t xml:space="preserve">It requires capability mapping,</w:t>
      </w:r>
      <w:r>
        <w:t xml:space="preserve"> </w:t>
      </w:r>
      <w:r>
        <w:t xml:space="preserve">telemetry integration with CISA, and documentation. That work is</w:t>
      </w:r>
      <w:r>
        <w:t xml:space="preserve"> </w:t>
      </w:r>
      <w:r>
        <w:t xml:space="preserve">independent of hardware and can begin earlier.</w:t>
      </w:r>
    </w:p>
    <w:p>
      <w:pPr>
        <w:pStyle w:val="BodyText"/>
      </w:pPr>
      <w:r>
        <w:rPr>
          <w:b/>
          <w:bCs/>
        </w:rPr>
        <w:t xml:space="preserve">The competing mandates are the binding constraint.</w:t>
      </w:r>
      <w:r>
        <w:t xml:space="preserve"> </w:t>
      </w:r>
      <w:r>
        <w:t xml:space="preserve">Three federal</w:t>
      </w:r>
      <w:r>
        <w:t xml:space="preserve"> </w:t>
      </w:r>
      <w:r>
        <w:t xml:space="preserve">deadlines land inside fifteen months, all drawing on the staff a</w:t>
      </w:r>
      <w:r>
        <w:t xml:space="preserve"> </w:t>
      </w:r>
      <w:r>
        <w:t xml:space="preserve">branch-edge programme would need: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2603"/>
        <w:gridCol w:w="3471"/>
        <w:gridCol w:w="1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 What it dema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nds When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OMB M-26-14 Agency loggi</w:t>
            </w:r>
            <w:r>
              <w:t xml:space="preserve"> </w:t>
            </w:r>
            <w:r>
              <w:t xml:space="preserve">assessment against a new</w:t>
            </w:r>
            <w:r>
              <w:t xml:space="preserve"> </w:t>
            </w:r>
            <w:r>
              <w:t xml:space="preserve">five-level model; retent</w:t>
            </w:r>
            <w:r>
              <w:t xml:space="preserve"> </w:t>
            </w:r>
            <w:r>
              <w:t xml:space="preserve">re-architecture Referenc</w:t>
            </w:r>
            <w:r>
              <w:t xml:space="preserve"> </w:t>
            </w:r>
            <w:r>
              <w:t xml:space="preserve">Architecture,</w:t>
            </w:r>
            <w:r>
              <w:t xml:space="preserve"> </w:t>
            </w:r>
            <w:r>
              <w:t xml:space="preserve">published</w:t>
            </w:r>
            <w:r>
              <w:t xml:space="preserve"> </w:t>
            </w:r>
            <w:r>
              <w:t xml:space="preserve">August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 plan; maturity Plan due withi</w:t>
            </w:r>
            <w:r>
              <w:t xml:space="preserve"> </w:t>
            </w:r>
            <w:r>
              <w:t xml:space="preserve">90 days of</w:t>
            </w:r>
            <w:r>
              <w:t xml:space="preserve"> </w:t>
            </w:r>
            <w:r>
              <w:t xml:space="preserve">ion CISA’s Logging</w:t>
            </w:r>
            <w:r>
              <w:t xml:space="preserve"> </w:t>
            </w:r>
            <w: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OMB M-26-15 / EO 14412 P</w:t>
            </w:r>
            <w:r>
              <w:t xml:space="preserve"> </w:t>
            </w:r>
            <w:r>
              <w:t xml:space="preserve">cryptographic inventory;</w:t>
            </w:r>
            <w:r>
              <w:t xml:space="preserve"> </w:t>
            </w:r>
            <w:r>
              <w:t xml:space="preserve">PQC-capable key exchange</w:t>
            </w:r>
            <w:r>
              <w:t xml:space="preserve"> </w:t>
            </w:r>
            <w:r>
              <w:t xml:space="preserve">TLS/IPsec-terminating mi</w:t>
            </w:r>
            <w:r>
              <w:t xml:space="preserve"> </w:t>
            </w:r>
            <w:r>
              <w:t xml:space="preserve">infrastructure through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QC migration plan; Plan due</w:t>
            </w:r>
            <w:r>
              <w:t xml:space="preserve"> </w:t>
            </w:r>
            <w:r>
              <w:t xml:space="preserve">approximately</w:t>
            </w:r>
            <w:r>
              <w:t xml:space="preserve"> </w:t>
            </w:r>
            <w:r>
              <w:t xml:space="preserve">on October 2026;</w:t>
            </w:r>
            <w:r>
              <w:t xml:space="preserve"> </w:t>
            </w:r>
            <w:r>
              <w:t xml:space="preserve">gration</w:t>
            </w:r>
            <w:r>
              <w:t xml:space="preserve"> </w:t>
            </w:r>
            <w:r>
              <w:t xml:space="preserve">030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CISA BOD 26-04 Vulnerabi</w:t>
            </w:r>
            <w:r>
              <w:t xml:space="preserve"> </w:t>
            </w:r>
            <w:r>
              <w:t xml:space="preserve">re-tooled to a four-vari</w:t>
            </w:r>
            <w:r>
              <w:t xml:space="preserve"> </w:t>
            </w:r>
            <w:r>
              <w:t xml:space="preserve">risk model; exposed-asse</w:t>
            </w:r>
            <w:r>
              <w:t xml:space="preserve"> </w:t>
            </w:r>
            <w:r>
              <w:t xml:space="preserve">tagging; quarterly attes</w:t>
            </w:r>
            <w:r>
              <w:t xml:space="preserve"> </w:t>
            </w:r>
            <w:r>
              <w:t xml:space="preserve">December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lity management Policy update</w:t>
            </w:r>
            <w:r>
              <w:t xml:space="preserve"> </w:t>
            </w:r>
            <w:r>
              <w:t xml:space="preserve">able due 7 August</w:t>
            </w:r>
            <w:r>
              <w:t xml:space="preserve"> </w:t>
            </w:r>
            <w:r>
              <w:t xml:space="preserve">t 2026; full</w:t>
            </w:r>
            <w:r>
              <w:t xml:space="preserve"> </w:t>
            </w:r>
            <w:r>
              <w:t xml:space="preserve">tations compliance 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An agency promising an SD-WAN programme in FY27 alongside these three is</w:t>
      </w:r>
      <w:r>
        <w:t xml:space="preserve"> </w:t>
      </w:r>
      <w:r>
        <w:t xml:space="preserve">promising the same people twice. Saying so in the programme plan is more</w:t>
      </w:r>
      <w:r>
        <w:t xml:space="preserve"> </w:t>
      </w:r>
      <w:r>
        <w:t xml:space="preserve">credible than not saying it.</w:t>
      </w:r>
    </w:p>
    <w:bookmarkEnd w:id="33"/>
    <w:bookmarkStart w:id="34" w:name="X7082458f85a8b1d682dba436620ff8aecb56b97"/>
    <w:p>
      <w:pPr>
        <w:pStyle w:val="Heading2"/>
      </w:pPr>
      <w:r>
        <w:t xml:space="preserve">5.2 BOD 26-02 is a forcing function, and it cuts the other way</w:t>
      </w:r>
    </w:p>
    <w:p>
      <w:pPr>
        <w:pStyle w:val="FirstParagraph"/>
      </w:pPr>
      <w:r>
        <w:t xml:space="preserve">There is one countervailing fact, and it is the most important planning</w:t>
      </w:r>
      <w:r>
        <w:t xml:space="preserve"> </w:t>
      </w:r>
      <w:r>
        <w:t xml:space="preserve">item in this paper.</w:t>
      </w:r>
    </w:p>
    <w:p>
      <w:pPr>
        <w:pStyle w:val="BodyText"/>
      </w:pPr>
      <w:r>
        <w:rPr>
          <w:b/>
          <w:bCs/>
        </w:rPr>
        <w:t xml:space="preserve">BOD 26-02 requires end-of-support edge devices — routers, switches,</w:t>
      </w:r>
      <w:r>
        <w:rPr>
          <w:b/>
          <w:bCs/>
        </w:rPr>
        <w:t xml:space="preserve"> </w:t>
      </w:r>
      <w:r>
        <w:rPr>
          <w:b/>
          <w:bCs/>
        </w:rPr>
        <w:t xml:space="preserve">firewalls, wireless access points — off FCEB networks by August</w:t>
      </w:r>
      <w:r>
        <w:rPr>
          <w:b/>
          <w:bCs/>
        </w:rPr>
        <w:t xml:space="preserve"> </w:t>
      </w:r>
      <w:r>
        <w:rPr>
          <w:b/>
          <w:bCs/>
        </w:rPr>
        <w:t xml:space="preserve">2027,</w:t>
      </w:r>
      <w:r>
        <w:t xml:space="preserve"> </w:t>
      </w:r>
      <w:r>
        <w:t xml:space="preserve">with an inventory milestone already passed and a decommissioning</w:t>
      </w:r>
      <w:r>
        <w:t xml:space="preserve"> </w:t>
      </w:r>
      <w:r>
        <w:t xml:space="preserve">milestone in February 2027. For an agency with ageing branch equipment,</w:t>
      </w:r>
      <w:r>
        <w:t xml:space="preserve"> </w:t>
      </w:r>
      <w:r>
        <w:rPr>
          <w:b/>
          <w:bCs/>
        </w:rPr>
        <w:t xml:space="preserve">a hardware refresh is now on a directive clock whether or not any</w:t>
      </w:r>
      <w:r>
        <w:rPr>
          <w:b/>
          <w:bCs/>
        </w:rPr>
        <w:t xml:space="preserve"> </w:t>
      </w:r>
      <w:r>
        <w:rPr>
          <w:b/>
          <w:bCs/>
        </w:rPr>
        <w:t xml:space="preserve">architecture programme is funded.</w:t>
      </w:r>
    </w:p>
    <w:p>
      <w:pPr>
        <w:pStyle w:val="BodyText"/>
      </w:pPr>
      <w:r>
        <w:t xml:space="preserve">That changes the interim calculus in two ways.</w:t>
      </w:r>
    </w:p>
    <w:p>
      <w:pPr>
        <w:pStyle w:val="BodyText"/>
      </w:pPr>
      <w:r>
        <w:t xml:space="preserve">First, it means part of the capital an agency assumed it did not have is</w:t>
      </w:r>
      <w:r>
        <w:t xml:space="preserve"> </w:t>
      </w:r>
      <w:r>
        <w:t xml:space="preserve">going to be spent anyway, on a compliance basis, inside the window this</w:t>
      </w:r>
      <w:r>
        <w:t xml:space="preserve"> </w:t>
      </w:r>
      <w:r>
        <w:t xml:space="preserve">paper describes as</w:t>
      </w:r>
      <w:r>
        <w:t xml:space="preserve"> </w:t>
      </w:r>
      <w:r>
        <w:t xml:space="preserve">“years away.”</w:t>
      </w:r>
      <w:r>
        <w:t xml:space="preserve"> </w:t>
      </w:r>
      <w:r>
        <w:t xml:space="preserve">The refresh is not the architecture</w:t>
      </w:r>
      <w:r>
        <w:t xml:space="preserve"> </w:t>
      </w:r>
      <w:r>
        <w:t xml:space="preserve">programme — but it is money and field logistics being committed to</w:t>
      </w:r>
      <w:r>
        <w:t xml:space="preserve"> </w:t>
      </w:r>
      <w:r>
        <w:t xml:space="preserve">branch network hardware on a schedule.</w:t>
      </w:r>
    </w:p>
    <w:p>
      <w:pPr>
        <w:pStyle w:val="BodyText"/>
      </w:pPr>
      <w:r>
        <w:t xml:space="preserve">Second, and more consequentially:</w:t>
      </w:r>
      <w:r>
        <w:t xml:space="preserve"> </w:t>
      </w:r>
      <w:r>
        <w:rPr>
          <w:b/>
          <w:bCs/>
        </w:rPr>
        <w:t xml:space="preserve">a refresh is precisely the moment a</w:t>
      </w:r>
      <w:r>
        <w:rPr>
          <w:b/>
          <w:bCs/>
        </w:rPr>
        <w:t xml:space="preserve"> </w:t>
      </w:r>
      <w:r>
        <w:rPr>
          <w:b/>
          <w:bCs/>
        </w:rPr>
        <w:t xml:space="preserve">branch architecture gets re-chosen, and the default choice is</w:t>
      </w:r>
      <w:r>
        <w:rPr>
          <w:b/>
          <w:bCs/>
        </w:rPr>
        <w:t xml:space="preserve"> </w:t>
      </w:r>
      <w:r>
        <w:rPr>
          <w:b/>
          <w:bCs/>
        </w:rPr>
        <w:t xml:space="preserve">like-for-like.</w:t>
      </w:r>
      <w:r>
        <w:t xml:space="preserve"> </w:t>
      </w:r>
      <w:r>
        <w:t xml:space="preserve">An agency that runs BOD 26-02 compliance as a pure</w:t>
      </w:r>
      <w:r>
        <w:t xml:space="preserve"> </w:t>
      </w:r>
      <w:r>
        <w:t xml:space="preserve">replacement exercise — same device class, same topology, same absence</w:t>
      </w:r>
      <w:r>
        <w:t xml:space="preserve"> </w:t>
      </w:r>
      <w:r>
        <w:t xml:space="preserve">of policy and telemetry — will have spent the money and foreclosed the</w:t>
      </w:r>
      <w:r>
        <w:t xml:space="preserve"> </w:t>
      </w:r>
      <w:r>
        <w:t xml:space="preserve">architecture question for the life of the new equipment, which is</w:t>
      </w:r>
      <w:r>
        <w:t xml:space="preserve"> </w:t>
      </w:r>
      <w:r>
        <w:t xml:space="preserve">another seven to ten years.</w:t>
      </w:r>
    </w:p>
    <w:p>
      <w:pPr>
        <w:pStyle w:val="BodyText"/>
      </w:pPr>
      <w:r>
        <w:t xml:space="preserve">The practical recommendation is narrow and cheap:</w:t>
      </w:r>
      <w:r>
        <w:t xml:space="preserve"> </w:t>
      </w:r>
      <w:r>
        <w:rPr>
          <w:b/>
          <w:bCs/>
        </w:rPr>
        <w:t xml:space="preserve">whoever is scoping</w:t>
      </w:r>
      <w:r>
        <w:rPr>
          <w:b/>
          <w:bCs/>
        </w:rPr>
        <w:t xml:space="preserve"> </w:t>
      </w:r>
      <w:r>
        <w:rPr>
          <w:b/>
          <w:bCs/>
        </w:rPr>
        <w:t xml:space="preserve">BOD 26-02 replacements should be told, in writing, what the eventual</w:t>
      </w:r>
      <w:r>
        <w:rPr>
          <w:b/>
          <w:bCs/>
        </w:rPr>
        <w:t xml:space="preserve"> </w:t>
      </w:r>
      <w:r>
        <w:rPr>
          <w:b/>
          <w:bCs/>
        </w:rPr>
        <w:t xml:space="preserve">target architecture requires of a branch device</w:t>
      </w:r>
      <w:r>
        <w:t xml:space="preserve"> </w:t>
      </w:r>
      <w:r>
        <w:t xml:space="preserve">— application-aware</w:t>
      </w:r>
      <w:r>
        <w:t xml:space="preserve"> </w:t>
      </w:r>
      <w:r>
        <w:t xml:space="preserve">steering, path measurement, deterministic egress, exportable</w:t>
      </w:r>
      <w:r>
        <w:t xml:space="preserve"> </w:t>
      </w:r>
      <w:r>
        <w:t xml:space="preserve">per-application telemetry, PQC-capable key exchange per M-26-15, and a</w:t>
      </w:r>
      <w:r>
        <w:t xml:space="preserve"> </w:t>
      </w:r>
      <w:r>
        <w:t xml:space="preserve">management plane that satisfies BOD 23-02. Specifying those attributes</w:t>
      </w:r>
      <w:r>
        <w:t xml:space="preserve"> </w:t>
      </w:r>
      <w:r>
        <w:t xml:space="preserve">in a compliance-driven refresh costs almost nothing at requirements time</w:t>
      </w:r>
      <w:r>
        <w:t xml:space="preserve"> </w:t>
      </w:r>
      <w:r>
        <w:t xml:space="preserve">and preserves the option. Not specifying them spends the same money and</w:t>
      </w:r>
      <w:r>
        <w:t xml:space="preserve"> </w:t>
      </w:r>
      <w:r>
        <w:t xml:space="preserve">closes it.</w:t>
      </w:r>
    </w:p>
    <w:bookmarkEnd w:id="34"/>
    <w:bookmarkEnd w:id="35"/>
    <w:bookmarkStart w:id="36" w:name="the-interim-posture"/>
    <w:p>
      <w:pPr>
        <w:pStyle w:val="Heading1"/>
      </w:pPr>
      <w:r>
        <w:t xml:space="preserve">6. The interim posture</w:t>
      </w:r>
    </w:p>
    <w:p>
      <w:pPr>
        <w:pStyle w:val="FirstParagraph"/>
      </w:pPr>
      <w:r>
        <w:t xml:space="preserve">What an agency can do in the twelve to twenty-four months before it can</w:t>
      </w:r>
      <w:r>
        <w:t xml:space="preserve"> </w:t>
      </w:r>
      <w:r>
        <w:t xml:space="preserve">buy an architecture. None of it requires an award or a completed use</w:t>
      </w:r>
      <w:r>
        <w:t xml:space="preserve"> </w:t>
      </w:r>
      <w:r>
        <w:t xml:space="preserve">case adoption, and all of it is work the eventual programme needs</w:t>
      </w:r>
      <w:r>
        <w:t xml:space="preserve"> </w:t>
      </w:r>
      <w:r>
        <w:t xml:space="preserve">anyway.</w:t>
      </w:r>
    </w:p>
    <w:p>
      <w:pPr>
        <w:pStyle w:val="BodyText"/>
      </w:pPr>
      <w:r>
        <w:rPr>
          <w:b/>
          <w:bCs/>
        </w:rPr>
        <w:t xml:space="preserve">6.1 Write the policy before you can enforce it.</w:t>
      </w:r>
      <w:r>
        <w:t xml:space="preserve"> </w:t>
      </w:r>
      <w:r>
        <w:t xml:space="preserve">Produce the</w:t>
      </w:r>
      <w:r>
        <w:t xml:space="preserve"> </w:t>
      </w:r>
      <w:r>
        <w:t xml:space="preserve">application-to-path routing policy as a document: for each application</w:t>
      </w:r>
      <w:r>
        <w:t xml:space="preserve"> </w:t>
      </w:r>
      <w:r>
        <w:t xml:space="preserve">class, the intended path, priority, failover behaviour and source</w:t>
      </w:r>
      <w:r>
        <w:t xml:space="preserve"> </w:t>
      </w:r>
      <w:r>
        <w:t xml:space="preserve">address presentation. Say plainly that enforcement is currently manual</w:t>
      </w:r>
      <w:r>
        <w:t xml:space="preserve"> </w:t>
      </w:r>
      <w:r>
        <w:t xml:space="preserve">and partial. This is the artifact an assessor asks for when testing an</w:t>
      </w:r>
      <w:r>
        <w:t xml:space="preserve"> </w:t>
      </w:r>
      <w:r>
        <w:t xml:space="preserve">SC-7(4) traffic-flow-policy assertion, and its absence is the finding</w:t>
      </w:r>
      <w:r>
        <w:t xml:space="preserve"> </w:t>
      </w:r>
      <w:r>
        <w:t xml:space="preserve">— not the absence of a device. It also converts the eventual</w:t>
      </w:r>
      <w:r>
        <w:t xml:space="preserve"> </w:t>
      </w:r>
      <w:r>
        <w:t xml:space="preserve">acquisition from a technology purchase into the enforcement of existing</w:t>
      </w:r>
      <w:r>
        <w:t xml:space="preserve"> </w:t>
      </w:r>
      <w:r>
        <w:t xml:space="preserve">agency policy.</w:t>
      </w:r>
    </w:p>
    <w:p>
      <w:pPr>
        <w:pStyle w:val="BodyText"/>
      </w:pPr>
      <w:r>
        <w:rPr>
          <w:b/>
          <w:bCs/>
        </w:rPr>
        <w:t xml:space="preserve">6.2 Measure what you can already measure.</w:t>
      </w:r>
      <w:r>
        <w:t xml:space="preserve"> </w:t>
      </w:r>
      <w:r>
        <w:t xml:space="preserve">Synthetic transactions</w:t>
      </w:r>
      <w:r>
        <w:t xml:space="preserve"> </w:t>
      </w:r>
      <w:r>
        <w:t xml:space="preserve">from branch endpoints, flow records from existing edge equipment, and</w:t>
      </w:r>
      <w:r>
        <w:t xml:space="preserve"> </w:t>
      </w:r>
      <w:r>
        <w:t xml:space="preserve">endpoint telemetry will together produce per-branch latency, loss and</w:t>
      </w:r>
      <w:r>
        <w:t xml:space="preserve"> </w:t>
      </w:r>
      <w:r>
        <w:t xml:space="preserve">jitter trends. Instrument a representative sample rather than</w:t>
      </w:r>
      <w:r>
        <w:t xml:space="preserve"> </w:t>
      </w:r>
      <w:r>
        <w:t xml:space="preserve">everything. The output is a baseline: what fraction of user-visible</w:t>
      </w:r>
      <w:r>
        <w:t xml:space="preserve"> </w:t>
      </w:r>
      <w:r>
        <w:t xml:space="preserve">application latency is transport-attributable, by branch and by</w:t>
      </w:r>
      <w:r>
        <w:t xml:space="preserve"> </w:t>
      </w:r>
      <w:r>
        <w:t xml:space="preserve">application. Section 8 explains why having this before the next</w:t>
      </w:r>
      <w:r>
        <w:t xml:space="preserve"> </w:t>
      </w:r>
      <w:r>
        <w:t xml:space="preserve">migration wave matters far more than having it after.</w:t>
      </w:r>
    </w:p>
    <w:p>
      <w:pPr>
        <w:pStyle w:val="BodyText"/>
      </w:pPr>
      <w:r>
        <w:rPr>
          <w:b/>
          <w:bCs/>
        </w:rPr>
        <w:t xml:space="preserve">6.3 Establish deterministic egress.</w:t>
      </w:r>
      <w:r>
        <w:t xml:space="preserve"> </w:t>
      </w:r>
      <w:r>
        <w:t xml:space="preserve">Usually a NAT configuration</w:t>
      </w:r>
      <w:r>
        <w:t xml:space="preserve"> </w:t>
      </w:r>
      <w:r>
        <w:t xml:space="preserve">decision. It pays three times: applications keyed to a client address</w:t>
      </w:r>
      <w:r>
        <w:t xml:space="preserve"> </w:t>
      </w:r>
      <w:r>
        <w:t xml:space="preserve">stop failing intermittently; location-aware conditional access policies</w:t>
      </w:r>
      <w:r>
        <w:t xml:space="preserve"> </w:t>
      </w:r>
      <w:r>
        <w:t xml:space="preserve">start meaning what they were written to mean; and the agency gains a</w:t>
      </w:r>
      <w:r>
        <w:t xml:space="preserve"> </w:t>
      </w:r>
      <w:r>
        <w:t xml:space="preserve">documented, testable fact about each branch.</w:t>
      </w:r>
    </w:p>
    <w:p>
      <w:pPr>
        <w:pStyle w:val="BodyText"/>
      </w:pPr>
      <w:r>
        <w:rPr>
          <w:b/>
          <w:bCs/>
        </w:rPr>
        <w:t xml:space="preserve">6.4 Close the cleartext-protocol exposure.</w:t>
      </w:r>
      <w:r>
        <w:t xml:space="preserve"> </w:t>
      </w:r>
      <w:r>
        <w:t xml:space="preserve">Per Section 4.4 — the</w:t>
      </w:r>
      <w:r>
        <w:t xml:space="preserve"> </w:t>
      </w:r>
      <w:r>
        <w:t xml:space="preserve">encryption work that is actually required and actually available.</w:t>
      </w:r>
    </w:p>
    <w:p>
      <w:pPr>
        <w:pStyle w:val="BodyText"/>
      </w:pPr>
      <w:r>
        <w:rPr>
          <w:b/>
          <w:bCs/>
        </w:rPr>
        <w:t xml:space="preserve">6.5 Verify the DNS path end to end.</w:t>
      </w:r>
      <w:r>
        <w:t xml:space="preserve"> </w:t>
      </w:r>
      <w:r>
        <w:t xml:space="preserve">Per Section 4.5 — confirm</w:t>
      </w:r>
      <w:r>
        <w:t xml:space="preserve"> </w:t>
      </w:r>
      <w:r>
        <w:t xml:space="preserve">egress resolution terminates at CISA’s Protective DNS, that root hints</w:t>
      </w:r>
      <w:r>
        <w:t xml:space="preserve"> </w:t>
      </w:r>
      <w:r>
        <w:t xml:space="preserve">are disabled, and that no endpoint agent holds an independent resolver</w:t>
      </w:r>
      <w:r>
        <w:t xml:space="preserve"> </w:t>
      </w:r>
      <w:r>
        <w:t xml:space="preserve">path. Test it rather than reading the design.</w:t>
      </w:r>
    </w:p>
    <w:p>
      <w:pPr>
        <w:pStyle w:val="BodyText"/>
      </w:pPr>
      <w:r>
        <w:rPr>
          <w:b/>
          <w:bCs/>
        </w:rPr>
        <w:t xml:space="preserve">6.6 Finish the obligations that already apply.</w:t>
      </w:r>
      <w:r>
        <w:t xml:space="preserve"> </w:t>
      </w:r>
      <w:r>
        <w:t xml:space="preserve">Encrypted DNS, HTTPS</w:t>
      </w:r>
      <w:r>
        <w:t xml:space="preserve"> </w:t>
      </w:r>
      <w:r>
        <w:t xml:space="preserve">for web and API traffic including internal, HSTS and STARTTLS on</w:t>
      </w:r>
      <w:r>
        <w:t xml:space="preserve"> </w:t>
      </w:r>
      <w:r>
        <w:t xml:space="preserve">public-facing services, TLS 1.3 support per SP 800-52 Rev 2. An agency</w:t>
      </w:r>
      <w:r>
        <w:t xml:space="preserve"> </w:t>
      </w:r>
      <w:r>
        <w:t xml:space="preserve">that has not completed these is exposed on requirements that exist while</w:t>
      </w:r>
      <w:r>
        <w:t xml:space="preserve"> </w:t>
      </w:r>
      <w:r>
        <w:t xml:space="preserve">contemplating an architecture justified by requirements that do not.</w:t>
      </w:r>
    </w:p>
    <w:p>
      <w:pPr>
        <w:pStyle w:val="BodyText"/>
      </w:pPr>
      <w:r>
        <w:rPr>
          <w:b/>
          <w:bCs/>
        </w:rPr>
        <w:t xml:space="preserve">6.7 Confirm the Active Directory paths.</w:t>
      </w:r>
      <w:r>
        <w:t xml:space="preserve"> </w:t>
      </w:r>
      <w:r>
        <w:t xml:space="preserve">Per Section 7.2 — the four</w:t>
      </w:r>
      <w:r>
        <w:t xml:space="preserve"> </w:t>
      </w:r>
      <w:r>
        <w:t xml:space="preserve">operations that genuinely require a reachable domain controller.</w:t>
      </w:r>
    </w:p>
    <w:p>
      <w:pPr>
        <w:pStyle w:val="BodyText"/>
      </w:pPr>
      <w:r>
        <w:rPr>
          <w:b/>
          <w:bCs/>
        </w:rPr>
        <w:t xml:space="preserve">6.8 Fix chattiness where it dominates.</w:t>
      </w:r>
      <w:r>
        <w:t xml:space="preserve"> </w:t>
      </w:r>
      <w:r>
        <w:t xml:space="preserve">Per Section 7.3 — in an</w:t>
      </w:r>
      <w:r>
        <w:t xml:space="preserve"> </w:t>
      </w:r>
      <w:r>
        <w:t xml:space="preserve">interval where transport cannot change, the only lever that moves user</w:t>
      </w:r>
      <w:r>
        <w:t xml:space="preserve"> </w:t>
      </w:r>
      <w:r>
        <w:t xml:space="preserve">experience, and it belongs to application owners.</w:t>
      </w:r>
    </w:p>
    <w:p>
      <w:pPr>
        <w:pStyle w:val="BodyText"/>
      </w:pPr>
      <w:r>
        <w:rPr>
          <w:b/>
          <w:bCs/>
        </w:rPr>
        <w:t xml:space="preserve">6.9 Specify the target-architecture attributes into the BOD 26-02</w:t>
      </w:r>
      <w:r>
        <w:rPr>
          <w:b/>
          <w:bCs/>
        </w:rPr>
        <w:t xml:space="preserve"> </w:t>
      </w:r>
      <w:r>
        <w:rPr>
          <w:b/>
          <w:bCs/>
        </w:rPr>
        <w:t xml:space="preserve">refresh.</w:t>
      </w:r>
      <w:r>
        <w:t xml:space="preserve"> </w:t>
      </w:r>
      <w:r>
        <w:t xml:space="preserve">Per Section 5.2. Cheapest high-value action in this list.</w:t>
      </w:r>
    </w:p>
    <w:p>
      <w:pPr>
        <w:pStyle w:val="BodyText"/>
      </w:pPr>
      <w:r>
        <w:rPr>
          <w:b/>
          <w:bCs/>
        </w:rPr>
        <w:t xml:space="preserve">6.10 Document the gap as an accepted risk.</w:t>
      </w:r>
      <w:r>
        <w:t xml:space="preserve"> </w:t>
      </w:r>
      <w:r>
        <w:t xml:space="preserve">Record in the risk</w:t>
      </w:r>
      <w:r>
        <w:t xml:space="preserve"> </w:t>
      </w:r>
      <w:r>
        <w:t xml:space="preserve">register and the affected packages which control assertions depend on</w:t>
      </w:r>
      <w:r>
        <w:t xml:space="preserve"> </w:t>
      </w:r>
      <w:r>
        <w:t xml:space="preserve">transport evidence that does not exist, the compensating measures above,</w:t>
      </w:r>
      <w:r>
        <w:t xml:space="preserve"> </w:t>
      </w:r>
      <w:r>
        <w:t xml:space="preserve">and the remediation and its funding dependency. An undocumented gap</w:t>
      </w:r>
      <w:r>
        <w:t xml:space="preserve"> </w:t>
      </w:r>
      <w:r>
        <w:t xml:space="preserve">found by an assessor is a finding; a documented gap with compensating</w:t>
      </w:r>
      <w:r>
        <w:t xml:space="preserve"> </w:t>
      </w:r>
      <w:r>
        <w:t xml:space="preserve">measures and a plan is an accepted risk. The technical situation is</w:t>
      </w:r>
      <w:r>
        <w:t xml:space="preserve"> </w:t>
      </w:r>
      <w:r>
        <w:t xml:space="preserve">identical; the institutional position is not.</w:t>
      </w:r>
    </w:p>
    <w:bookmarkEnd w:id="36"/>
    <w:bookmarkStart w:id="40" w:name="X8163746bbb3ef327d8a84433a057ac569723b00"/>
    <w:p>
      <w:pPr>
        <w:pStyle w:val="Heading1"/>
      </w:pPr>
      <w:r>
        <w:t xml:space="preserve">7. Engineering realities the interim has to respect</w:t>
      </w:r>
    </w:p>
    <w:bookmarkStart w:id="37" w:name="X4f32fd159d60e5b8aae2caa17307ef64fa7fa7e"/>
    <w:p>
      <w:pPr>
        <w:pStyle w:val="Heading2"/>
      </w:pPr>
      <w:r>
        <w:t xml:space="preserve">7.1 What actually breaks on proxied and re-routed paths</w:t>
      </w:r>
    </w:p>
    <w:p>
      <w:pPr>
        <w:pStyle w:val="FirstParagraph"/>
      </w:pPr>
      <w:r>
        <w:t xml:space="preserve">Long-lived stateful sessions fail more often when an enforcement point</w:t>
      </w:r>
      <w:r>
        <w:t xml:space="preserve"> </w:t>
      </w:r>
      <w:r>
        <w:t xml:space="preserve">sits in the path: connection resets and proxy idle timeouts; end-to-end</w:t>
      </w:r>
      <w:r>
        <w:t xml:space="preserve"> </w:t>
      </w:r>
      <w:r>
        <w:t xml:space="preserve">mutual TLS and certificate pinning, which need an explicit bypass;</w:t>
      </w:r>
      <w:r>
        <w:t xml:space="preserve"> </w:t>
      </w:r>
      <w:r>
        <w:t xml:space="preserve">applications that key state to a client source address; protocols an</w:t>
      </w:r>
      <w:r>
        <w:t xml:space="preserve"> </w:t>
      </w:r>
      <w:r>
        <w:t xml:space="preserve">enforcement point cannot parse; and path changes that alter effective</w:t>
      </w:r>
      <w:r>
        <w:t xml:space="preserve"> </w:t>
      </w:r>
      <w:r>
        <w:t xml:space="preserve">MTU, which present as throughput collapse rather than outage.</w:t>
      </w:r>
    </w:p>
    <w:p>
      <w:pPr>
        <w:pStyle w:val="BodyText"/>
      </w:pPr>
      <w:r>
        <w:t xml:space="preserve">One frequently cited mechanism does not occur:</w:t>
      </w:r>
      <w:r>
        <w:t xml:space="preserve"> </w:t>
      </w:r>
      <w:r>
        <w:rPr>
          <w:b/>
          <w:bCs/>
        </w:rPr>
        <w:t xml:space="preserve">a path change does not</w:t>
      </w:r>
      <w:r>
        <w:rPr>
          <w:b/>
          <w:bCs/>
        </w:rPr>
        <w:t xml:space="preserve"> </w:t>
      </w:r>
      <w:r>
        <w:rPr>
          <w:b/>
          <w:bCs/>
        </w:rPr>
        <w:t xml:space="preserve">cause TCP sequence-number discontinuity.</w:t>
      </w:r>
      <w:r>
        <w:t xml:space="preserve"> </w:t>
      </w:r>
      <w:r>
        <w:t xml:space="preserve">Sequence numbers are endpoint</w:t>
      </w:r>
      <w:r>
        <w:t xml:space="preserve"> </w:t>
      </w:r>
      <w:r>
        <w:t xml:space="preserve">properties, unaffected by route. A re-route that changes the client’s</w:t>
      </w:r>
      <w:r>
        <w:t xml:space="preserve"> </w:t>
      </w:r>
      <w:r>
        <w:t xml:space="preserve">apparent source address will break established connections; one that</w:t>
      </w:r>
      <w:r>
        <w:t xml:space="preserve"> </w:t>
      </w:r>
      <w:r>
        <w:t xml:space="preserve">does not, generally will not. The operative property is address</w:t>
      </w:r>
      <w:r>
        <w:t xml:space="preserve"> </w:t>
      </w:r>
      <w:r>
        <w:t xml:space="preserve">continuity — which is why Section 6.3 is worth doing early.</w:t>
      </w:r>
    </w:p>
    <w:bookmarkEnd w:id="37"/>
    <w:bookmarkStart w:id="38" w:name="X51fc108c23a1f47164098f713190664b9fe8444"/>
    <w:p>
      <w:pPr>
        <w:pStyle w:val="Heading2"/>
      </w:pPr>
      <w:r>
        <w:t xml:space="preserve">7.2 Kerberos, and the four dependencies that are real</w:t>
      </w:r>
    </w:p>
    <w:p>
      <w:pPr>
        <w:pStyle w:val="FirstParagraph"/>
      </w:pPr>
      <w:r>
        <w:t xml:space="preserve">Kerberos is often described as breaking under source address</w:t>
      </w:r>
      <w:r>
        <w:t xml:space="preserve"> </w:t>
      </w:r>
      <w:r>
        <w:t xml:space="preserve">translation.</w:t>
      </w:r>
      <w:r>
        <w:t xml:space="preserve"> </w:t>
      </w:r>
      <w:r>
        <w:rPr>
          <w:b/>
          <w:bCs/>
        </w:rPr>
        <w:t xml:space="preserve">This does not occur under Microsoft’s defaults.</w:t>
      </w:r>
      <w:r>
        <w:t xml:space="preserve"> </w:t>
      </w:r>
      <w:r>
        <w:t xml:space="preserve">RFC</w:t>
      </w:r>
      <w:r>
        <w:t xml:space="preserve"> </w:t>
      </w:r>
      <w:r>
        <w:t xml:space="preserve">4120 permits but does not require the client address field, and Windows</w:t>
      </w:r>
      <w:r>
        <w:t xml:space="preserve"> </w:t>
      </w:r>
      <w:r>
        <w:t xml:space="preserve">does not use it:</w:t>
      </w:r>
      <w:r>
        <w:t xml:space="preserve"> </w:t>
      </w:r>
      <w:r>
        <w:rPr>
          <w:rStyle w:val="VerbatimChar"/>
        </w:rPr>
        <w:t xml:space="preserve">KdcUseClientAddresses</w:t>
      </w:r>
      <w:r>
        <w:t xml:space="preserve"> </w:t>
      </w:r>
      <w:r>
        <w:t xml:space="preserve">defaults to 0,</w:t>
      </w:r>
      <w:r>
        <w:t xml:space="preserve"> </w:t>
      </w:r>
      <w:r>
        <w:rPr>
          <w:rStyle w:val="VerbatimChar"/>
        </w:rPr>
        <w:t xml:space="preserve">KdcDontCheckAddresses</w:t>
      </w:r>
      <w:r>
        <w:t xml:space="preserve"> </w:t>
      </w:r>
      <w:r>
        <w:t xml:space="preserve">defaults to 1, client-side</w:t>
      </w:r>
      <w:r>
        <w:t xml:space="preserve"> </w:t>
      </w:r>
      <w:r>
        <w:rPr>
          <w:rStyle w:val="VerbatimChar"/>
        </w:rPr>
        <w:t xml:space="preserve">ClientIpAddresses</w:t>
      </w:r>
      <w:r>
        <w:t xml:space="preserve"> </w:t>
      </w:r>
      <w:r>
        <w:t xml:space="preserve">defaults to false. Windows KDCs neither populate nor enforce the field,</w:t>
      </w:r>
      <w:r>
        <w:t xml:space="preserve"> </w:t>
      </w:r>
      <w:r>
        <w:t xml:space="preserve">which is why Kerberos works across NAT.</w:t>
      </w:r>
    </w:p>
    <w:p>
      <w:pPr>
        <w:pStyle w:val="BodyText"/>
      </w:pPr>
      <w:r>
        <w:t xml:space="preserve">Two related figures circulate and neither is real: there is no</w:t>
      </w:r>
      <w:r>
        <w:t xml:space="preserve"> </w:t>
      </w:r>
      <w:r>
        <w:t xml:space="preserve">sub-5-millisecond round-trip requirement to a domain controller and no</w:t>
      </w:r>
      <w:r>
        <w:t xml:space="preserve"> </w:t>
      </w:r>
      <w:r>
        <w:t xml:space="preserve">5-millisecond Kerberos timeout — the 5-minute figure they derive from</w:t>
      </w:r>
      <w:r>
        <w:t xml:space="preserve"> </w:t>
      </w:r>
      <w:r>
        <w:t xml:space="preserve">is clock-skew tolerance. Ticket lifetimes are generous: 10 hours for a</w:t>
      </w:r>
      <w:r>
        <w:t xml:space="preserve"> </w:t>
      </w:r>
      <w:r>
        <w:t xml:space="preserve">TGT with 7-day renewal, 600 minutes for service tickets.</w:t>
      </w:r>
    </w:p>
    <w:p>
      <w:pPr>
        <w:pStyle w:val="BodyText"/>
      </w:pPr>
      <w:r>
        <w:t xml:space="preserve">What genuinely requires a reachable domain controller:</w:t>
      </w:r>
      <w:r>
        <w:t xml:space="preserve"> </w:t>
      </w:r>
      <w:r>
        <w:rPr>
          <w:b/>
          <w:bCs/>
        </w:rPr>
        <w:t xml:space="preserve">initial TGT</w:t>
      </w:r>
      <w:r>
        <w:rPr>
          <w:b/>
          <w:bCs/>
        </w:rPr>
        <w:t xml:space="preserve"> </w:t>
      </w:r>
      <w:r>
        <w:rPr>
          <w:b/>
          <w:bCs/>
        </w:rPr>
        <w:t xml:space="preserve">acquisition at logon; Group Policy retrieval from SYSVOL; password</w:t>
      </w:r>
      <w:r>
        <w:rPr>
          <w:b/>
          <w:bCs/>
        </w:rPr>
        <w:t xml:space="preserve"> </w:t>
      </w:r>
      <w:r>
        <w:rPr>
          <w:b/>
          <w:bCs/>
        </w:rPr>
        <w:t xml:space="preserve">change, including expiry-forced change; and Microsoft Entra hybrid join</w:t>
      </w:r>
      <w:r>
        <w:rPr>
          <w:b/>
          <w:bCs/>
        </w:rPr>
        <w:t xml:space="preserve"> </w:t>
      </w:r>
      <w:r>
        <w:rPr>
          <w:b/>
          <w:bCs/>
        </w:rPr>
        <w:t xml:space="preserve">registration</w:t>
      </w:r>
      <w:r>
        <w:t xml:space="preserve">, for which Microsoft documents a network line-of-sight</w:t>
      </w:r>
      <w:r>
        <w:t xml:space="preserve"> </w:t>
      </w:r>
      <w:r>
        <w:t xml:space="preserve">requirement.</w:t>
      </w:r>
    </w:p>
    <w:p>
      <w:pPr>
        <w:pStyle w:val="BodyText"/>
      </w:pPr>
      <w:r>
        <w:t xml:space="preserve">A branch on local breakout whose domain controllers sit in a datacenter</w:t>
      </w:r>
      <w:r>
        <w:t xml:space="preserve"> </w:t>
      </w:r>
      <w:r>
        <w:t xml:space="preserve">reaches them over whatever private path or connector the agency provides</w:t>
      </w:r>
      <w:r>
        <w:t xml:space="preserve"> </w:t>
      </w:r>
      <w:r>
        <w:t xml:space="preserve">— not over the security stack’s internet egress. Overlooking that path</w:t>
      </w:r>
      <w:r>
        <w:t xml:space="preserve"> </w:t>
      </w:r>
      <w:r>
        <w:t xml:space="preserve">breaks sign-in, policy application and password change while cloud</w:t>
      </w:r>
      <w:r>
        <w:t xml:space="preserve"> </w:t>
      </w:r>
      <w:r>
        <w:t xml:space="preserve">applications keep working. If a hardening baseline has moved either KDC</w:t>
      </w:r>
      <w:r>
        <w:t xml:space="preserve"> </w:t>
      </w:r>
      <w:r>
        <w:t xml:space="preserve">registry value off its default, that setting rather than the network is</w:t>
      </w:r>
      <w:r>
        <w:t xml:space="preserve"> </w:t>
      </w:r>
      <w:r>
        <w:t xml:space="preserve">the exposure.</w:t>
      </w:r>
    </w:p>
    <w:bookmarkEnd w:id="38"/>
    <w:bookmarkStart w:id="39" w:name="round-trips-dominate"/>
    <w:p>
      <w:pPr>
        <w:pStyle w:val="Heading2"/>
      </w:pPr>
      <w:r>
        <w:t xml:space="preserve">7.3 Round trips dominate</w:t>
      </w:r>
    </w:p>
    <w:p>
      <w:pPr>
        <w:pStyle w:val="FirstParagraph"/>
      </w:pPr>
      <w:r>
        <w:t xml:space="preserve">A branch with one-way latency of 20–30 ms to its breakout point and</w:t>
      </w:r>
      <w:r>
        <w:t xml:space="preserve"> </w:t>
      </w:r>
      <w:r>
        <w:t xml:space="preserve">40–60 ms from there to the cloud region sees roughly 120–180 ms round</w:t>
      </w:r>
      <w:r>
        <w:t xml:space="preserve"> </w:t>
      </w:r>
      <w:r>
        <w:t xml:space="preserve">trip per query; a transaction issuing 30 sequential queries incurs</w:t>
      </w:r>
      <w:r>
        <w:t xml:space="preserve"> </w:t>
      </w:r>
      <w:r>
        <w:t xml:space="preserve">3.6–5.4 seconds of network latency before any database work.</w:t>
      </w:r>
    </w:p>
    <w:p>
      <w:pPr>
        <w:pStyle w:val="BodyText"/>
      </w:pPr>
      <w:r>
        <w:t xml:space="preserve">A branch-edge device acts on the first leg only.</w:t>
      </w:r>
    </w:p>
    <w:tbl>
      <w:tblPr>
        <w:tblStyle w:val="Table"/>
        <w:tblW w:type="pct" w:w="4940"/>
        <w:tblLayout w:type="fixed"/>
        <w:tblLook w:firstRow="1" w:lastRow="0" w:firstColumn="0" w:lastColumn="0" w:noHBand="0" w:noVBand="0" w:val="0020"/>
      </w:tblPr>
      <w:tblGrid>
        <w:gridCol w:w="2357"/>
        <w:gridCol w:w="1225"/>
        <w:gridCol w:w="1320"/>
        <w:gridCol w:w="292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Component Baseline With W</w:t>
            </w:r>
            <w:r>
              <w:t xml:space="preserve"> </w:t>
            </w:r>
            <w:r>
              <w:t xml:space="preserve">(one way) branch-edge</w:t>
            </w:r>
            <w:r>
              <w:t xml:space="preserve"> </w:t>
            </w:r>
            <w:r>
              <w:t xml:space="preserve">policy and</w:t>
            </w:r>
            <w:r>
              <w:t xml:space="preserve"> </w:t>
            </w:r>
            <w:r>
              <w:t xml:space="preserve">nearer</w:t>
            </w:r>
            <w:r>
              <w:t xml:space="preserve"> </w:t>
            </w:r>
            <w:r>
              <w:t xml:space="preserve">breakout</w:t>
            </w:r>
          </w:p>
        </w:tc>
        <w:tc>
          <w:tcPr/>
          <w:p>
            <w:pPr>
              <w:pStyle w:val="Compact"/>
            </w:pPr>
            <w:r>
              <w:t xml:space="preserve">hat moves 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Branch → enforcement 20–</w:t>
            </w:r>
            <w:r>
              <w:t xml:space="preserve"> </w:t>
            </w:r>
            <w:r>
              <w:t xml:space="preserve">point selection</w:t>
            </w:r>
          </w:p>
        </w:tc>
        <w:tc>
          <w:tcPr/>
          <w:p>
            <w:pPr>
              <w:pStyle w:val="Compact"/>
            </w:pPr>
            <w:r>
              <w:t xml:space="preserve">30 ms 5–15 m</w:t>
            </w:r>
          </w:p>
        </w:tc>
        <w:tc>
          <w:tcPr/>
          <w:p>
            <w:pPr>
              <w:pStyle w:val="Compact"/>
            </w:pPr>
            <w:r>
              <w:t xml:space="preserve">s Nearer break</w:t>
            </w:r>
          </w:p>
        </w:tc>
        <w:tc>
          <w:tcPr/>
          <w:p>
            <w:pPr>
              <w:pStyle w:val="Compact"/>
            </w:pPr>
            <w:r>
              <w:t xml:space="preserve">out; better link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Enforcement point → 40–6</w:t>
            </w:r>
            <w:r>
              <w:t xml:space="preserve"> </w:t>
            </w:r>
            <w:r>
              <w:t xml:space="preserve">cloud backbone</w:t>
            </w:r>
          </w:p>
        </w:tc>
        <w:tc>
          <w:tcPr/>
          <w:p>
            <w:pPr>
              <w:pStyle w:val="Compact"/>
            </w:pPr>
            <w:r>
              <w:t xml:space="preserve">0 ms 40–60 m</w:t>
            </w:r>
          </w:p>
        </w:tc>
        <w:tc>
          <w:tcPr/>
          <w:p>
            <w:pPr>
              <w:pStyle w:val="Compact"/>
            </w:pPr>
            <w:r>
              <w:t xml:space="preserve">s Cloud region</w:t>
            </w:r>
          </w:p>
        </w:tc>
        <w:tc>
          <w:tcPr/>
          <w:p>
            <w:pPr>
              <w:pStyle w:val="Compact"/>
            </w:pPr>
            <w:r>
              <w:t xml:space="preserve">choice; provider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Round-trip total</w:t>
            </w:r>
            <w:r>
              <w:t xml:space="preserve"> </w:t>
            </w:r>
            <w:r>
              <w:rPr>
                <w:b/>
                <w:bCs/>
              </w:rPr>
              <w:t xml:space="preserve">12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ms</w:t>
            </w:r>
            <w:r>
              <w:t xml:space="preserve"> </w:t>
            </w:r>
            <w:r>
              <w:t xml:space="preserve">ms**</w:t>
            </w:r>
          </w:p>
        </w:tc>
        <w:tc>
          <w:tcPr/>
          <w:p>
            <w:pPr>
              <w:pStyle w:val="Compact"/>
            </w:pPr>
            <w:r>
              <w:t xml:space="preserve">0–180 **90–</w:t>
            </w:r>
          </w:p>
        </w:tc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30-query transaction</w:t>
            </w:r>
            <w:r>
              <w:t xml:space="preserve"> </w:t>
            </w:r>
            <w:r>
              <w:t xml:space="preserve">s** s**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3.6–5.4</w:t>
            </w:r>
            <w:r>
              <w:rPr>
                <w:b/>
                <w:bCs/>
              </w:rP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2.7–4.5 **≈20</w:t>
            </w:r>
          </w:p>
        </w:tc>
        <w:tc>
          <w:tcPr/>
          <w:p>
            <w:pPr>
              <w:pStyle w:val="Compact"/>
            </w:pPr>
            <w:r>
              <w:t xml:space="preserve">–25%**</w:t>
            </w:r>
          </w:p>
        </w:tc>
      </w:tr>
    </w:tbl>
    <w:p>
      <w:pPr>
        <w:pStyle w:val="BodyText"/>
      </w:pPr>
      <w:r>
        <w:rPr>
          <w:i/>
          <w:iCs/>
        </w:rPr>
        <w:t xml:space="preserve">Illustrative inputs, stated so they can be replaced: 30 sequential</w:t>
      </w:r>
      <w:r>
        <w:rPr>
          <w:i/>
          <w:iCs/>
        </w:rPr>
        <w:t xml:space="preserve"> </w:t>
      </w:r>
      <w:r>
        <w:rPr>
          <w:i/>
          <w:iCs/>
        </w:rPr>
        <w:t xml:space="preserve">round trips, one-way leg latencies as shown, no application change.</w:t>
      </w:r>
    </w:p>
    <w:p>
      <w:pPr>
        <w:pStyle w:val="BodyText"/>
      </w:pPr>
      <w:r>
        <w:rPr>
          <w:b/>
          <w:bCs/>
        </w:rPr>
        <w:t xml:space="preserve">Reducing the transaction from 30 sequential round trips to 3 takes it</w:t>
      </w:r>
      <w:r>
        <w:rPr>
          <w:b/>
          <w:bCs/>
        </w:rPr>
        <w:t xml:space="preserve"> </w:t>
      </w:r>
      <w:r>
        <w:rPr>
          <w:b/>
          <w:bCs/>
        </w:rPr>
        <w:t xml:space="preserve">to 270–540 ms — roughly an order of magnitude.</w:t>
      </w:r>
      <w:r>
        <w:t xml:space="preserve"> </w:t>
      </w:r>
      <w:r>
        <w:t xml:space="preserve">In an interval where</w:t>
      </w:r>
      <w:r>
        <w:t xml:space="preserve"> </w:t>
      </w:r>
      <w:r>
        <w:t xml:space="preserve">transport cannot be changed, that is the only lever available. An agency</w:t>
      </w:r>
      <w:r>
        <w:t xml:space="preserve"> </w:t>
      </w:r>
      <w:r>
        <w:t xml:space="preserve">justifying a future branch-edge programme on latency alone has chosen</w:t>
      </w:r>
      <w:r>
        <w:t xml:space="preserve"> </w:t>
      </w:r>
      <w:r>
        <w:t xml:space="preserve">the weaker of its two arguments.</w:t>
      </w:r>
    </w:p>
    <w:bookmarkEnd w:id="39"/>
    <w:bookmarkEnd w:id="40"/>
    <w:bookmarkStart w:id="46" w:name="X0413d15207ca56d844c8e3cd4ae05c156462803"/>
    <w:p>
      <w:pPr>
        <w:pStyle w:val="Heading1"/>
      </w:pPr>
      <w:r>
        <w:t xml:space="preserve">8. Attribution, and the cost of getting the order wrong</w:t>
      </w:r>
    </w:p>
    <w:bookmarkStart w:id="41" w:name="phase-inversion"/>
    <w:p>
      <w:pPr>
        <w:pStyle w:val="Heading2"/>
      </w:pPr>
      <w:r>
        <w:t xml:space="preserve">8.1 Phase inversion</w:t>
      </w:r>
    </w:p>
    <w:p>
      <w:pPr>
        <w:pStyle w:val="FirstParagraph"/>
      </w:pPr>
      <w:r>
        <w:t xml:space="preserve">Most agencies are migrating workloads to cloud now, while transport</w:t>
      </w:r>
      <w:r>
        <w:t xml:space="preserve"> </w:t>
      </w:r>
      <w:r>
        <w:t xml:space="preserve">modernization is years away. The consequence is not primarily</w:t>
      </w:r>
      <w:r>
        <w:t xml:space="preserve"> </w:t>
      </w:r>
      <w:r>
        <w:t xml:space="preserve">performance. It is</w:t>
      </w:r>
      <w:r>
        <w:t xml:space="preserve"> </w:t>
      </w:r>
      <w:r>
        <w:rPr>
          <w:b/>
          <w:bCs/>
        </w:rPr>
        <w:t xml:space="preserve">attribution</w:t>
      </w:r>
      <w:r>
        <w:t xml:space="preserve">.</w:t>
      </w:r>
    </w:p>
    <w:p>
      <w:pPr>
        <w:pStyle w:val="BodyText"/>
      </w:pPr>
      <w:r>
        <w:t xml:space="preserve">After migration, application response times and cloud bills are both</w:t>
      </w:r>
      <w:r>
        <w:t xml:space="preserve"> </w:t>
      </w:r>
      <w:r>
        <w:t xml:space="preserve">worse than the business case assumed. The agency has cloud metrics and</w:t>
      </w:r>
      <w:r>
        <w:t xml:space="preserve"> </w:t>
      </w:r>
      <w:r>
        <w:t xml:space="preserve">application metrics. It does not have per-application transport metrics,</w:t>
      </w:r>
      <w:r>
        <w:t xml:space="preserve"> </w:t>
      </w:r>
      <w:r>
        <w:t xml:space="preserve">because those require the device it has not deployed. Cost is attributed</w:t>
      </w:r>
      <w:r>
        <w:t xml:space="preserve"> </w:t>
      </w:r>
      <w:r>
        <w:t xml:space="preserve">to the only thing being measured — the cloud — and the remedies</w:t>
      </w:r>
      <w:r>
        <w:t xml:space="preserve"> </w:t>
      </w:r>
      <w:r>
        <w:t xml:space="preserve">follow the attribution: more instances, more caching, read replicas, a</w:t>
      </w:r>
      <w:r>
        <w:t xml:space="preserve"> </w:t>
      </w:r>
      <w:r>
        <w:t xml:space="preserve">delivery layer. Each raises cloud spend, which strengthens the</w:t>
      </w:r>
      <w:r>
        <w:t xml:space="preserve"> </w:t>
      </w:r>
      <w:r>
        <w:t xml:space="preserve">“cloud is</w:t>
      </w:r>
      <w:r>
        <w:t xml:space="preserve"> </w:t>
      </w:r>
      <w:r>
        <w:t xml:space="preserve">too expensive”</w:t>
      </w:r>
      <w:r>
        <w:t xml:space="preserve"> </w:t>
      </w:r>
      <w:r>
        <w:t xml:space="preserve">narrative, which generates repatriation pressure. The</w:t>
      </w:r>
      <w:r>
        <w:t xml:space="preserve"> </w:t>
      </w:r>
      <w:r>
        <w:t xml:space="preserve">transport contribution is never identified because it never appears in</w:t>
      </w:r>
      <w:r>
        <w:t xml:space="preserve"> </w:t>
      </w:r>
      <w:r>
        <w:t xml:space="preserve">the data anyone examines.</w:t>
      </w:r>
    </w:p>
    <w:p>
      <w:pPr>
        <w:pStyle w:val="BodyText"/>
      </w:pPr>
      <w:r>
        <w:t xml:space="preserve">The self-reinforcing property is what makes it worth naming: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remedy for a misattributed cost raises the cost that was</w:t>
      </w:r>
      <w:r>
        <w:rPr>
          <w:b/>
          <w:bCs/>
        </w:rPr>
        <w:t xml:space="preserve"> </w:t>
      </w:r>
      <w:r>
        <w:rPr>
          <w:b/>
          <w:bCs/>
        </w:rPr>
        <w:t xml:space="preserve">misattributed.</w:t>
      </w:r>
    </w:p>
    <w:bookmarkEnd w:id="41"/>
    <w:bookmarkStart w:id="42" w:name="what-the-evidence-actually-supports"/>
    <w:p>
      <w:pPr>
        <w:pStyle w:val="Heading2"/>
      </w:pPr>
      <w:r>
        <w:t xml:space="preserve">8.2 What the evidence actually supports</w:t>
      </w:r>
    </w:p>
    <w:p>
      <w:pPr>
        <w:pStyle w:val="FirstParagraph"/>
      </w:pPr>
      <w:r>
        <w:t xml:space="preserve">The individual links in that chain have federal support.</w:t>
      </w:r>
      <w:r>
        <w:t xml:space="preserve"> </w:t>
      </w:r>
      <w:r>
        <w:rPr>
          <w:b/>
          <w:bCs/>
        </w:rPr>
        <w:t xml:space="preserve">The composed</w:t>
      </w:r>
      <w:r>
        <w:rPr>
          <w:b/>
          <w:bCs/>
        </w:rPr>
        <w:t xml:space="preserve"> </w:t>
      </w:r>
      <w:r>
        <w:rPr>
          <w:b/>
          <w:bCs/>
        </w:rPr>
        <w:t xml:space="preserve">phenomenon does not appear in any literature this paper could locate,</w:t>
      </w:r>
      <w:r>
        <w:rPr>
          <w:b/>
          <w:bCs/>
        </w:rPr>
        <w:t xml:space="preserve"> </w:t>
      </w:r>
      <w:r>
        <w:rPr>
          <w:b/>
          <w:bCs/>
        </w:rPr>
        <w:t xml:space="preserve">and is presented here as the author’s own inference.</w:t>
      </w:r>
      <w:r>
        <w:t xml:space="preserve"> </w:t>
      </w:r>
      <w:r>
        <w:t xml:space="preserve">The distinction</w:t>
      </w:r>
      <w:r>
        <w:t xml:space="preserve"> </w:t>
      </w:r>
      <w:r>
        <w:t xml:space="preserve">matters, so the components are set out separately.</w:t>
      </w:r>
    </w:p>
    <w:p>
      <w:pPr>
        <w:pStyle w:val="BodyText"/>
      </w:pPr>
      <w:r>
        <w:rPr>
          <w:b/>
          <w:bCs/>
        </w:rPr>
        <w:t xml:space="preserve">Documented: federal agencies cannot track cloud costs and savings</w:t>
      </w:r>
      <w:r>
        <w:rPr>
          <w:b/>
          <w:bCs/>
        </w:rPr>
        <w:t xml:space="preserve"> </w:t>
      </w:r>
      <w:r>
        <w:rPr>
          <w:b/>
          <w:bCs/>
        </w:rPr>
        <w:t xml:space="preserve">consistently.</w:t>
      </w:r>
      <w:r>
        <w:t xml:space="preserve"> </w:t>
      </w:r>
      <w:r>
        <w:t xml:space="preserve">GAO-19-58 (April 2019) reviewed 16 agencies and found</w:t>
      </w:r>
      <w:r>
        <w:t xml:space="preserve"> </w:t>
      </w:r>
      <w:r>
        <w:t xml:space="preserve">they</w:t>
      </w:r>
      <w:r>
        <w:t xml:space="preserve"> </w:t>
      </w:r>
      <w:r>
        <w:t xml:space="preserve">“identified issues in tracking and reporting cloud spending and</w:t>
      </w:r>
      <w:r>
        <w:t xml:space="preserve"> </w:t>
      </w:r>
      <w:r>
        <w:t xml:space="preserve">savings data, including not having consistent processes in place to do</w:t>
      </w:r>
      <w:r>
        <w:t xml:space="preserve"> </w:t>
      </w:r>
      <w:r>
        <w:t xml:space="preserve">so,”</w:t>
      </w:r>
      <w:r>
        <w:t xml:space="preserve"> </w:t>
      </w:r>
      <w:r>
        <w:t xml:space="preserve">and concluded</w:t>
      </w:r>
      <w:r>
        <w:t xml:space="preserve"> </w:t>
      </w:r>
      <w:r>
        <w:t xml:space="preserve">“it is likely that agency-reported cloud spending and</w:t>
      </w:r>
      <w:r>
        <w:t xml:space="preserve"> </w:t>
      </w:r>
      <w:r>
        <w:t xml:space="preserve">savings figures were underreported.”</w:t>
      </w:r>
      <w:r>
        <w:t xml:space="preserve"> </w:t>
      </w:r>
      <w:r>
        <w:t xml:space="preserve">GAO-22-106195 (September 2022)</w:t>
      </w:r>
      <w:r>
        <w:t xml:space="preserve"> </w:t>
      </w:r>
      <w:r>
        <w:t xml:space="preserve">named cost and savings tracking as one of four federal cloud challenges,</w:t>
      </w:r>
      <w:r>
        <w:t xml:space="preserve"> </w:t>
      </w:r>
      <w:r>
        <w:t xml:space="preserve">with agencies using</w:t>
      </w:r>
      <w:r>
        <w:t xml:space="preserve"> </w:t>
      </w:r>
      <w:r>
        <w:t xml:space="preserve">“inconsistent data to calculate cloud spending.”</w:t>
      </w:r>
      <w:r>
        <w:t xml:space="preserve"> </w:t>
      </w:r>
      <w:r>
        <w:t xml:space="preserve">GAO-26-107530 (June 2026) covered all 24 CFO Act agencies and found</w:t>
      </w:r>
      <w:r>
        <w:t xml:space="preserve"> </w:t>
      </w:r>
      <w:r>
        <w:rPr>
          <w:b/>
          <w:bCs/>
        </w:rPr>
        <w:t xml:space="preserve">17</w:t>
      </w:r>
      <w:r>
        <w:rPr>
          <w:b/>
          <w:bCs/>
        </w:rPr>
        <w:t xml:space="preserve"> </w:t>
      </w:r>
      <w:r>
        <w:rPr>
          <w:b/>
          <w:bCs/>
        </w:rPr>
        <w:t xml:space="preserve">of 24</w:t>
      </w:r>
      <w:r>
        <w:t xml:space="preserve"> </w:t>
      </w:r>
      <w:r>
        <w:t xml:space="preserve">reported that</w:t>
      </w:r>
      <w:r>
        <w:t xml:space="preserve"> </w:t>
      </w:r>
      <w:r>
        <w:t xml:space="preserve">“control of cloud costs required changes in IT</w:t>
      </w:r>
      <w:r>
        <w:t xml:space="preserve"> </w:t>
      </w:r>
      <w:r>
        <w:t xml:space="preserve">management approaches.”</w:t>
      </w:r>
    </w:p>
    <w:p>
      <w:pPr>
        <w:pStyle w:val="BodyText"/>
      </w:pPr>
      <w:r>
        <w:rPr>
          <w:b/>
          <w:bCs/>
        </w:rPr>
        <w:t xml:space="preserve">Documented: transport requirements were not understood at migration</w:t>
      </w:r>
      <w:r>
        <w:rPr>
          <w:b/>
          <w:bCs/>
        </w:rPr>
        <w:t xml:space="preserve"> </w:t>
      </w:r>
      <w:r>
        <w:rPr>
          <w:b/>
          <w:bCs/>
        </w:rPr>
        <w:t xml:space="preserve">time.</w:t>
      </w:r>
      <w:r>
        <w:t xml:space="preserve"> </w:t>
      </w:r>
      <w:r>
        <w:t xml:space="preserve">From GAO-26-107530, under cost tracking following migration:</w:t>
      </w:r>
      <w:r>
        <w:t xml:space="preserve"> </w:t>
      </w:r>
      <w:r>
        <w:rPr>
          <w:i/>
          <w:iCs/>
        </w:rPr>
        <w:t xml:space="preserve">“Commerce officials reported that cloud usage and requirements (data</w:t>
      </w:r>
      <w:r>
        <w:rPr>
          <w:i/>
          <w:iCs/>
        </w:rPr>
        <w:t xml:space="preserve"> </w:t>
      </w:r>
      <w:r>
        <w:rPr>
          <w:i/>
          <w:iCs/>
        </w:rPr>
        <w:t xml:space="preserve">volume, bandwidth, throughput, etc.) did not immediately translate one</w:t>
      </w:r>
      <w:r>
        <w:rPr>
          <w:i/>
          <w:iCs/>
        </w:rPr>
        <w:t xml:space="preserve"> </w:t>
      </w:r>
      <w:r>
        <w:rPr>
          <w:i/>
          <w:iCs/>
        </w:rPr>
        <w:t xml:space="preserve">for one with the previously on-premise solution.”</w:t>
      </w:r>
      <w:r>
        <w:t xml:space="preserve"> </w:t>
      </w:r>
      <w:r>
        <w:t xml:space="preserve">That is a federal</w:t>
      </w:r>
      <w:r>
        <w:t xml:space="preserve"> </w:t>
      </w:r>
      <w:r>
        <w:t xml:space="preserve">agency stating that bandwidth and throughput requirements were not</w:t>
      </w:r>
      <w:r>
        <w:t xml:space="preserve"> </w:t>
      </w:r>
      <w:r>
        <w:t xml:space="preserve">understood at migration, categorized by GAO as a cost-tracking problem.</w:t>
      </w:r>
      <w:r>
        <w:t xml:space="preserve"> </w:t>
      </w:r>
      <w:r>
        <w:t xml:space="preserve">It is not a claim of misattribution, and should not be represented as</w:t>
      </w:r>
      <w:r>
        <w:t xml:space="preserve"> </w:t>
      </w:r>
      <w:r>
        <w:t xml:space="preserve">one.</w:t>
      </w:r>
    </w:p>
    <w:p>
      <w:pPr>
        <w:pStyle w:val="BodyText"/>
      </w:pPr>
      <w:r>
        <w:rPr>
          <w:b/>
          <w:bCs/>
        </w:rPr>
        <w:t xml:space="preserve">Documented: transport constraints degraded performance and raised cost</w:t>
      </w:r>
      <w:r>
        <w:rPr>
          <w:b/>
          <w:bCs/>
        </w:rPr>
        <w:t xml:space="preserve"> </w:t>
      </w:r>
      <w:r>
        <w:rPr>
          <w:b/>
          <w:bCs/>
        </w:rPr>
        <w:t xml:space="preserve">in a federal cloud context.</w:t>
      </w:r>
      <w:r>
        <w:t xml:space="preserve"> </w:t>
      </w:r>
      <w:r>
        <w:t xml:space="preserve">The CISA passage quoted in Section 2.2.</w:t>
      </w:r>
    </w:p>
    <w:p>
      <w:pPr>
        <w:pStyle w:val="BodyText"/>
      </w:pPr>
      <w:r>
        <w:rPr>
          <w:b/>
          <w:bCs/>
        </w:rPr>
        <w:t xml:space="preserve">Documented: transport cost has been assumed out of a federal cloud</w:t>
      </w:r>
      <w:r>
        <w:rPr>
          <w:b/>
          <w:bCs/>
        </w:rPr>
        <w:t xml:space="preserve"> </w:t>
      </w:r>
      <w:r>
        <w:rPr>
          <w:b/>
          <w:bCs/>
        </w:rPr>
        <w:t xml:space="preserve">cost estimate.</w:t>
      </w:r>
      <w:r>
        <w:t xml:space="preserve"> </w:t>
      </w:r>
      <w:r>
        <w:t xml:space="preserve">GAO’s own Inspector General (OIG-25-1, February 2025)</w:t>
      </w:r>
      <w:r>
        <w:t xml:space="preserve"> </w:t>
      </w:r>
      <w:r>
        <w:t xml:space="preserve">found GAO</w:t>
      </w:r>
      <w:r>
        <w:t xml:space="preserve"> </w:t>
      </w:r>
      <w:r>
        <w:t xml:space="preserve">“did not include data egress fees in a major system’s cost</w:t>
      </w:r>
      <w:r>
        <w:t xml:space="preserve"> </w:t>
      </w:r>
      <w:r>
        <w:t xml:space="preserve">estimate and did not document the exclusion because they deemed data</w:t>
      </w:r>
      <w:r>
        <w:t xml:space="preserve"> </w:t>
      </w:r>
      <w:r>
        <w:t xml:space="preserve">egress fees minimal,”</w:t>
      </w:r>
      <w:r>
        <w:t xml:space="preserve"> </w:t>
      </w:r>
      <w:r>
        <w:t xml:space="preserve">and had</w:t>
      </w:r>
      <w:r>
        <w:t xml:space="preserve"> </w:t>
      </w:r>
      <w:r>
        <w:t xml:space="preserve">“not established formal procedures</w:t>
      </w:r>
      <w:r>
        <w:t xml:space="preserve"> </w:t>
      </w:r>
      <w:r>
        <w:t xml:space="preserve">implementing cloud cost management policies.”</w:t>
      </w:r>
      <w:r>
        <w:t xml:space="preserve"> </w:t>
      </w:r>
      <w:r>
        <w:t xml:space="preserve">Narrow, but a clean,</w:t>
      </w:r>
      <w:r>
        <w:t xml:space="preserve"> </w:t>
      </w:r>
      <w:r>
        <w:t xml:space="preserve">primary-source instance of the estimating blind spot.</w:t>
      </w:r>
    </w:p>
    <w:p>
      <w:pPr>
        <w:pStyle w:val="BodyText"/>
      </w:pPr>
      <w:r>
        <w:rPr>
          <w:b/>
          <w:bCs/>
        </w:rPr>
        <w:t xml:space="preserve">Documented: latency is a first-order, non-obvious performance</w:t>
      </w:r>
      <w:r>
        <w:rPr>
          <w:b/>
          <w:bCs/>
        </w:rPr>
        <w:t xml:space="preserve"> </w:t>
      </w:r>
      <w:r>
        <w:rPr>
          <w:b/>
          <w:bCs/>
        </w:rPr>
        <w:t xml:space="preserve">driver.</w:t>
      </w:r>
      <w:r>
        <w:t xml:space="preserve"> </w:t>
      </w:r>
      <w:r>
        <w:t xml:space="preserve">A University of Cambridge Computer Laboratory study injected</w:t>
      </w:r>
      <w:r>
        <w:t xml:space="preserve"> </w:t>
      </w:r>
      <w:r>
        <w:t xml:space="preserve">latency at nanosecond resolution and found 10 µs added each direction</w:t>
      </w:r>
      <w:r>
        <w:t xml:space="preserve"> </w:t>
      </w:r>
      <w:r>
        <w:t xml:space="preserve">produces a noticeable effect and 50 µs</w:t>
      </w:r>
      <w:r>
        <w:t xml:space="preserve"> </w:t>
      </w:r>
      <w:r>
        <w:t xml:space="preserve">“significantly negatively</w:t>
      </w:r>
      <w:r>
        <w:t xml:space="preserve"> </w:t>
      </w:r>
      <w:r>
        <w:t xml:space="preserve">impact[s]”</w:t>
      </w:r>
      <w:r>
        <w:t xml:space="preserve"> </w:t>
      </w:r>
      <w:r>
        <w:t xml:space="preserve">performance, with Memcached degrading over 20% at 100 µs.</w:t>
      </w:r>
      <w:r>
        <w:t xml:space="preserve"> </w:t>
      </w:r>
      <w:r>
        <w:t xml:space="preserve">That is a datacenter-scale study at microsecond resolution; WAN latency</w:t>
      </w:r>
      <w:r>
        <w:t xml:space="preserve"> </w:t>
      </w:r>
      <w:r>
        <w:t xml:space="preserve">is three orders of magnitude larger, which makes the mechanism more</w:t>
      </w:r>
      <w:r>
        <w:t xml:space="preserve"> </w:t>
      </w:r>
      <w:r>
        <w:t xml:space="preserve">plausible at WAN scale but does not license quoting microsecond findings</w:t>
      </w:r>
      <w:r>
        <w:t xml:space="preserve"> </w:t>
      </w:r>
      <w:r>
        <w:t xml:space="preserve">as WAN measurements.</w:t>
      </w:r>
    </w:p>
    <w:p>
      <w:pPr>
        <w:pStyle w:val="BodyText"/>
      </w:pPr>
      <w:r>
        <w:rPr>
          <w:b/>
          <w:bCs/>
        </w:rPr>
        <w:t xml:space="preserve">Not documented: the composed claim.</w:t>
      </w:r>
      <w:r>
        <w:t xml:space="preserve"> </w:t>
      </w:r>
      <w:r>
        <w:t xml:space="preserve">No GAO report, IG report,</w:t>
      </w:r>
      <w:r>
        <w:t xml:space="preserve"> </w:t>
      </w:r>
      <w:r>
        <w:t xml:space="preserve">academic paper or research-firm study describes transport-attributable</w:t>
      </w:r>
      <w:r>
        <w:t xml:space="preserve"> </w:t>
      </w:r>
      <w:r>
        <w:t xml:space="preserve">cost being misattributed to cloud and driving compensatory spend.</w:t>
      </w:r>
      <w:r>
        <w:t xml:space="preserve"> </w:t>
      </w:r>
      <w:r>
        <w:t xml:space="preserve">Notably, the highest-profile debate on cloud cost — the Andreessen</w:t>
      </w:r>
      <w:r>
        <w:t xml:space="preserve"> </w:t>
      </w:r>
      <w:r>
        <w:t xml:space="preserve">Horowitz</w:t>
      </w:r>
      <w:r>
        <w:t xml:space="preserve"> </w:t>
      </w:r>
      <w:r>
        <w:t xml:space="preserve">“Cost of Cloud”</w:t>
      </w:r>
      <w:r>
        <w:t xml:space="preserve"> </w:t>
      </w:r>
      <w:r>
        <w:t xml:space="preserve">analysis and its rebuttals — does not mention</w:t>
      </w:r>
      <w:r>
        <w:t xml:space="preserve"> </w:t>
      </w:r>
      <w:r>
        <w:t xml:space="preserve">network transport at all on either side. That silence is the gap this</w:t>
      </w:r>
      <w:r>
        <w:t xml:space="preserve"> </w:t>
      </w:r>
      <w:r>
        <w:t xml:space="preserve">section addresses, and it is also the reason the claim must be labelled</w:t>
      </w:r>
      <w:r>
        <w:t xml:space="preserve"> </w:t>
      </w:r>
      <w:r>
        <w:t xml:space="preserve">as an inference.</w:t>
      </w:r>
    </w:p>
    <w:bookmarkEnd w:id="42"/>
    <w:bookmarkStart w:id="43" w:name="Xa4e9e6eb2e102a579370b2e2ced7cc7f7abf37d"/>
    <w:p>
      <w:pPr>
        <w:pStyle w:val="Heading2"/>
      </w:pPr>
      <w:r>
        <w:t xml:space="preserve">8.3 The competing explanations a reviewer will raise</w:t>
      </w:r>
    </w:p>
    <w:p>
      <w:pPr>
        <w:pStyle w:val="FirstParagraph"/>
      </w:pPr>
      <w:r>
        <w:t xml:space="preserve">These are better evidenced than the transport explanation and must be</w:t>
      </w:r>
      <w:r>
        <w:t xml:space="preserve"> </w:t>
      </w:r>
      <w:r>
        <w:t xml:space="preserve">addressed rather than ignored.</w:t>
      </w:r>
    </w:p>
    <w:p>
      <w:pPr>
        <w:pStyle w:val="BodyText"/>
      </w:pPr>
      <w:r>
        <w:rPr>
          <w:b/>
          <w:bCs/>
        </w:rPr>
        <w:t xml:space="preserve">Idle and over-provisioned resources.</w:t>
      </w:r>
      <w:r>
        <w:t xml:space="preserve"> </w:t>
      </w:r>
      <w:r>
        <w:t xml:space="preserve">Flexera’s annual survey (2026</w:t>
      </w:r>
      <w:r>
        <w:t xml:space="preserve"> </w:t>
      </w:r>
      <w:r>
        <w:t xml:space="preserve">edition, 750+ cloud decision-makers, fifteenth year) reports</w:t>
      </w:r>
      <w:r>
        <w:t xml:space="preserve"> </w:t>
      </w:r>
      <w:r>
        <w:t xml:space="preserve">self-estimated wasted cloud spend at</w:t>
      </w:r>
      <w:r>
        <w:t xml:space="preserve"> </w:t>
      </w:r>
      <w:r>
        <w:rPr>
          <w:b/>
          <w:bCs/>
        </w:rPr>
        <w:t xml:space="preserve">29%</w:t>
      </w:r>
      <w:r>
        <w:t xml:space="preserve">, attributed to idle</w:t>
      </w:r>
      <w:r>
        <w:t xml:space="preserve"> </w:t>
      </w:r>
      <w:r>
        <w:t xml:space="preserve">capacity, oversized instances and unused commitments. This is the</w:t>
      </w:r>
      <w:r>
        <w:t xml:space="preserve"> </w:t>
      </w:r>
      <w:r>
        <w:t xml:space="preserve">best-evidenced driver of cloud overspend and it is not network-related.</w:t>
      </w:r>
    </w:p>
    <w:p>
      <w:pPr>
        <w:pStyle w:val="BodyText"/>
      </w:pPr>
      <w:r>
        <w:rPr>
          <w:b/>
          <w:bCs/>
        </w:rPr>
        <w:t xml:space="preserve">Egress fees are quantitatively small.</w:t>
      </w:r>
      <w:r>
        <w:t xml:space="preserve"> </w:t>
      </w:r>
      <w:r>
        <w:t xml:space="preserve">The UK Competition and Markets</w:t>
      </w:r>
      <w:r>
        <w:t xml:space="preserve"> </w:t>
      </w:r>
      <w:r>
        <w:t xml:space="preserve">Authority, with access to provider financial data, found egress fees</w:t>
      </w:r>
      <w:r>
        <w:t xml:space="preserve"> </w:t>
      </w:r>
      <w:r>
        <w:t xml:space="preserve">generated 0–5% of total UK public cloud revenues for the three largest</w:t>
      </w:r>
      <w:r>
        <w:t xml:space="preserve"> </w:t>
      </w:r>
      <w:r>
        <w:t xml:space="preserve">providers in 2022, and that a majority of customers paid</w:t>
      </w:r>
      <w:r>
        <w:t xml:space="preserve"> </w:t>
      </w:r>
      <w:r>
        <w:rPr>
          <w:b/>
          <w:bCs/>
        </w:rPr>
        <w:t xml:space="preserve">less than</w:t>
      </w:r>
      <w:r>
        <w:rPr>
          <w:b/>
          <w:bCs/>
        </w:rPr>
        <w:t xml:space="preserve"> </w:t>
      </w:r>
      <w:r>
        <w:rPr>
          <w:b/>
          <w:bCs/>
        </w:rPr>
        <w:t xml:space="preserve">1%</w:t>
      </w:r>
      <w:r>
        <w:t xml:space="preserve"> </w:t>
      </w:r>
      <w:r>
        <w:t xml:space="preserve">of annual cloud spend on egress. A regulator’s finding beats any</w:t>
      </w:r>
      <w:r>
        <w:t xml:space="preserve"> </w:t>
      </w:r>
      <w:r>
        <w:t xml:space="preserve">survey.</w:t>
      </w:r>
      <w:r>
        <w:t xml:space="preserve"> </w:t>
      </w:r>
      <w:r>
        <w:rPr>
          <w:b/>
          <w:bCs/>
        </w:rPr>
        <w:t xml:space="preserve">This paper’s argument is not about egress fees</w:t>
      </w:r>
      <w:r>
        <w:t xml:space="preserve"> </w:t>
      </w:r>
      <w:r>
        <w:t xml:space="preserve">— it is</w:t>
      </w:r>
      <w:r>
        <w:t xml:space="preserve"> </w:t>
      </w:r>
      <w:r>
        <w:t xml:space="preserve">about transport-</w:t>
      </w:r>
      <w:r>
        <w:rPr>
          <w:i/>
          <w:iCs/>
        </w:rPr>
        <w:t xml:space="preserve">induced</w:t>
      </w:r>
      <w:r>
        <w:t xml:space="preserve"> </w:t>
      </w:r>
      <w:r>
        <w:t xml:space="preserve">compute spend — but the argument will be</w:t>
      </w:r>
      <w:r>
        <w:t xml:space="preserve"> </w:t>
      </w:r>
      <w:r>
        <w:t xml:space="preserve">read as an egress argument unless it says otherwise, so it says</w:t>
      </w:r>
      <w:r>
        <w:t xml:space="preserve"> </w:t>
      </w:r>
      <w:r>
        <w:t xml:space="preserve">otherwise here.</w:t>
      </w:r>
    </w:p>
    <w:p>
      <w:pPr>
        <w:pStyle w:val="BodyText"/>
      </w:pPr>
      <w:r>
        <w:rPr>
          <w:b/>
          <w:bCs/>
        </w:rPr>
        <w:t xml:space="preserve">Licensing practices.</w:t>
      </w:r>
      <w:r>
        <w:t xml:space="preserve"> </w:t>
      </w:r>
      <w:r>
        <w:t xml:space="preserve">GAO-25-107114 documents restrictive software</w:t>
      </w:r>
      <w:r>
        <w:t xml:space="preserve"> </w:t>
      </w:r>
      <w:r>
        <w:t xml:space="preserve">licensing driving cost increases agencies were</w:t>
      </w:r>
      <w:r>
        <w:t xml:space="preserve"> </w:t>
      </w:r>
      <w:r>
        <w:t xml:space="preserve">“unable to specify the</w:t>
      </w:r>
      <w:r>
        <w:t xml:space="preserve"> </w:t>
      </w:r>
      <w:r>
        <w:t xml:space="preserve">actual amount of”</w:t>
      </w:r>
      <w:r>
        <w:t xml:space="preserve"> </w:t>
      </w:r>
      <w:r>
        <w:t xml:space="preserve">across six agencies. Federally documented, and not</w:t>
      </w:r>
      <w:r>
        <w:t xml:space="preserve"> </w:t>
      </w:r>
      <w:r>
        <w:t xml:space="preserve">transport.</w:t>
      </w:r>
    </w:p>
    <w:p>
      <w:pPr>
        <w:pStyle w:val="BodyText"/>
      </w:pPr>
      <w:r>
        <w:rPr>
          <w:b/>
          <w:bCs/>
        </w:rPr>
        <w:t xml:space="preserve">Management and accounting model change.</w:t>
      </w:r>
      <w:r>
        <w:t xml:space="preserve"> </w:t>
      </w:r>
      <w:r>
        <w:t xml:space="preserve">GAO-26-107530’s finding that</w:t>
      </w:r>
      <w:r>
        <w:t xml:space="preserve"> </w:t>
      </w:r>
      <w:r>
        <w:t xml:space="preserve">17 of 24 agencies needed changed IT management approaches is an</w:t>
      </w:r>
      <w:r>
        <w:t xml:space="preserve"> </w:t>
      </w:r>
      <w:r>
        <w:t xml:space="preserve">organizational explanation competing directly with the transport one.</w:t>
      </w:r>
    </w:p>
    <w:p>
      <w:pPr>
        <w:pStyle w:val="BodyText"/>
      </w:pPr>
      <w:r>
        <w:rPr>
          <w:b/>
          <w:bCs/>
        </w:rPr>
        <w:t xml:space="preserve">Repatriation is smaller than commonly claimed.</w:t>
      </w:r>
      <w:r>
        <w:t xml:space="preserve"> </w:t>
      </w:r>
      <w:r>
        <w:t xml:space="preserve">Uptime Institute’s</w:t>
      </w:r>
      <w:r>
        <w:t xml:space="preserve"> </w:t>
      </w:r>
      <w:r>
        <w:t xml:space="preserve">own survey conclusion is that high costs drive repatriation</w:t>
      </w:r>
      <w:r>
        <w:t xml:space="preserve"> </w:t>
      </w:r>
      <w:r>
        <w:t xml:space="preserve">“but impact</w:t>
      </w:r>
      <w:r>
        <w:t xml:space="preserve"> </w:t>
      </w:r>
      <w:r>
        <w:t xml:space="preserve">is overstated”</w:t>
      </w:r>
      <w:r>
        <w:t xml:space="preserve"> </w:t>
      </w:r>
      <w:r>
        <w:t xml:space="preserve">— 33% moved some production applications back, only 6%</w:t>
      </w:r>
      <w:r>
        <w:t xml:space="preserve"> </w:t>
      </w:r>
      <w:r>
        <w:t xml:space="preserve">left public cloud entirely.</w:t>
      </w:r>
      <w:r>
        <w:t xml:space="preserve"> </w:t>
      </w:r>
      <w:r>
        <w:rPr>
          <w:b/>
          <w:bCs/>
        </w:rPr>
        <w:t xml:space="preserve">Neither Uptime nor comparable surveys list</w:t>
      </w:r>
      <w:r>
        <w:rPr>
          <w:b/>
          <w:bCs/>
        </w:rPr>
        <w:t xml:space="preserve"> </w:t>
      </w:r>
      <w:r>
        <w:rPr>
          <w:b/>
          <w:bCs/>
        </w:rPr>
        <w:t xml:space="preserve">network or latency among stated repatriation reasons.</w:t>
      </w:r>
      <w:r>
        <w:t xml:space="preserve"> </w:t>
      </w:r>
      <w:r>
        <w:t xml:space="preserve">The widely</w:t>
      </w:r>
      <w:r>
        <w:t xml:space="preserve"> </w:t>
      </w:r>
      <w:r>
        <w:t xml:space="preserve">circulated</w:t>
      </w:r>
      <w:r>
        <w:t xml:space="preserve"> </w:t>
      </w:r>
      <w:r>
        <w:t xml:space="preserve">“71% will repatriate”</w:t>
      </w:r>
      <w:r>
        <w:t xml:space="preserve"> </w:t>
      </w:r>
      <w:r>
        <w:t xml:space="preserve">figure comes from a vendor-sponsored</w:t>
      </w:r>
      <w:r>
        <w:t xml:space="preserve"> </w:t>
      </w:r>
      <w:r>
        <w:t xml:space="preserve">survey with no published sample size or methodology and should not be</w:t>
      </w:r>
      <w:r>
        <w:t xml:space="preserve"> </w:t>
      </w:r>
      <w:r>
        <w:t xml:space="preserve">cited.</w:t>
      </w:r>
    </w:p>
    <w:p>
      <w:pPr>
        <w:pStyle w:val="BodyText"/>
      </w:pPr>
      <w:r>
        <w:t xml:space="preserve">That last point deserves a note on falsifiability. This paper’s claim</w:t>
      </w:r>
      <w:r>
        <w:t xml:space="preserve"> </w:t>
      </w:r>
      <w:r>
        <w:t xml:space="preserve">predicts that organizations would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name transport as the cause,</w:t>
      </w:r>
      <w:r>
        <w:t xml:space="preserve"> </w:t>
      </w:r>
      <w:r>
        <w:t xml:space="preserve">since by hypothesis they cannot see it. That makes survey silence weak</w:t>
      </w:r>
      <w:r>
        <w:t xml:space="preserve"> </w:t>
      </w:r>
      <w:r>
        <w:t xml:space="preserve">evidence in either direction, and the claim correspondingly hard to test</w:t>
      </w:r>
      <w:r>
        <w:t xml:space="preserve"> </w:t>
      </w:r>
      <w:r>
        <w:t xml:space="preserve">from survey data.</w:t>
      </w:r>
      <w:r>
        <w:t xml:space="preserve"> </w:t>
      </w:r>
      <w:r>
        <w:rPr>
          <w:b/>
          <w:bCs/>
        </w:rPr>
        <w:t xml:space="preserve">It is not, however, untestable.</w:t>
      </w:r>
      <w:r>
        <w:t xml:space="preserve"> </w:t>
      </w:r>
      <w:r>
        <w:t xml:space="preserve">Section 8.4 states</w:t>
      </w:r>
      <w:r>
        <w:t xml:space="preserve"> </w:t>
      </w:r>
      <w:r>
        <w:t xml:space="preserve">what would settle it.</w:t>
      </w:r>
    </w:p>
    <w:bookmarkEnd w:id="43"/>
    <w:bookmarkStart w:id="44" w:name="what-would-confirm-or-refute-this"/>
    <w:p>
      <w:pPr>
        <w:pStyle w:val="Heading2"/>
      </w:pPr>
      <w:r>
        <w:t xml:space="preserve">8.4 What would confirm or refute this</w:t>
      </w:r>
    </w:p>
    <w:p>
      <w:pPr>
        <w:pStyle w:val="FirstParagraph"/>
      </w:pPr>
      <w:r>
        <w:t xml:space="preserve">The paired-branch study in Section 8.5, run before and after a migration</w:t>
      </w:r>
      <w:r>
        <w:t xml:space="preserve"> </w:t>
      </w:r>
      <w:r>
        <w:t xml:space="preserve">wave rather than before and after a device deployment, is the direct</w:t>
      </w:r>
      <w:r>
        <w:t xml:space="preserve"> </w:t>
      </w:r>
      <w:r>
        <w:t xml:space="preserve">test. Three specific measurements would settle the question in a given</w:t>
      </w:r>
      <w:r>
        <w:t xml:space="preserve"> </w:t>
      </w:r>
      <w:r>
        <w:t xml:space="preserve">estate: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Instance-count elasticity to path events.</w:t>
      </w:r>
      <w:r>
        <w:t xml:space="preserve"> </w:t>
      </w:r>
      <w:r>
        <w:t xml:space="preserve">If autoscaling or</w:t>
      </w:r>
      <w:r>
        <w:t xml:space="preserve"> </w:t>
      </w:r>
      <w:r>
        <w:t xml:space="preserve">manual capacity increases correlate with branch WAN path degradation</w:t>
      </w:r>
      <w:r>
        <w:t xml:space="preserve"> </w:t>
      </w:r>
      <w:r>
        <w:t xml:space="preserve">rather than with user or transaction volume, the mechanism is</w:t>
      </w:r>
      <w:r>
        <w:t xml:space="preserve"> </w:t>
      </w:r>
      <w:r>
        <w:t xml:space="preserve">present. If they correlate only with volume, it is not.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Cache and replica additions traced to a diagnosis.</w:t>
      </w:r>
      <w:r>
        <w:t xml:space="preserve"> </w:t>
      </w:r>
      <w:r>
        <w:t xml:space="preserve">Where a</w:t>
      </w:r>
      <w:r>
        <w:t xml:space="preserve"> </w:t>
      </w:r>
      <w:r>
        <w:t xml:space="preserve">caching layer or read replica was added post-migration, examine the</w:t>
      </w:r>
      <w:r>
        <w:t xml:space="preserve"> </w:t>
      </w:r>
      <w:r>
        <w:t xml:space="preserve">incident or performance record that justified it. If the diagnosis</w:t>
      </w:r>
      <w:r>
        <w:t xml:space="preserve"> </w:t>
      </w:r>
      <w:r>
        <w:t xml:space="preserve">was</w:t>
      </w:r>
      <w:r>
        <w:t xml:space="preserve"> </w:t>
      </w:r>
      <w:r>
        <w:t xml:space="preserve">“slow application”</w:t>
      </w:r>
      <w:r>
        <w:t xml:space="preserve"> </w:t>
      </w:r>
      <w:r>
        <w:t xml:space="preserve">with no transport measurement available, the</w:t>
      </w:r>
      <w:r>
        <w:t xml:space="preserve"> </w:t>
      </w:r>
      <w:r>
        <w:t xml:space="preserve">attribution was unavailable rather than wrong — which is the</w:t>
      </w:r>
      <w:r>
        <w:t xml:space="preserve"> </w:t>
      </w:r>
      <w:r>
        <w:t xml:space="preserve">claim.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Help desk ticket clustering by branch.</w:t>
      </w:r>
      <w:r>
        <w:t xml:space="preserve"> </w:t>
      </w:r>
      <w:r>
        <w:t xml:space="preserve">Ticket volume per user</w:t>
      </w:r>
      <w:r>
        <w:t xml:space="preserve"> </w:t>
      </w:r>
      <w:r>
        <w:t xml:space="preserve">that varies significantly by branch, uncorrelated with application</w:t>
      </w:r>
      <w:r>
        <w:t xml:space="preserve"> </w:t>
      </w:r>
      <w:r>
        <w:t xml:space="preserve">mix, points at transport. Uniform distribution points away from it.</w:t>
      </w:r>
    </w:p>
    <w:p>
      <w:pPr>
        <w:pStyle w:val="FirstParagraph"/>
      </w:pPr>
      <w:r>
        <w:t xml:space="preserve">An agency that runs these three has either evidence or a disproof, and</w:t>
      </w:r>
      <w:r>
        <w:t xml:space="preserve"> </w:t>
      </w:r>
      <w:r>
        <w:t xml:space="preserve">either is worth more than the argument.</w:t>
      </w:r>
    </w:p>
    <w:bookmarkEnd w:id="44"/>
    <w:bookmarkStart w:id="45" w:name="measuring-the-eventual-case"/>
    <w:p>
      <w:pPr>
        <w:pStyle w:val="Heading2"/>
      </w:pPr>
      <w:r>
        <w:t xml:space="preserve">8.5 Measuring the eventual case</w:t>
      </w:r>
    </w:p>
    <w:p>
      <w:pPr>
        <w:pStyle w:val="FirstParagraph"/>
      </w:pPr>
      <w:r>
        <w:t xml:space="preserve">When funding becomes possible, the number that survives a budget</w:t>
      </w:r>
      <w:r>
        <w:t xml:space="preserve"> </w:t>
      </w:r>
      <w:r>
        <w:t xml:space="preserve">examiner is a measurement. A</w:t>
      </w:r>
      <w:r>
        <w:t xml:space="preserve"> </w:t>
      </w:r>
      <w:r>
        <w:rPr>
          <w:b/>
          <w:bCs/>
        </w:rPr>
        <w:t xml:space="preserve">paired-branch study</w:t>
      </w:r>
      <w:r>
        <w:t xml:space="preserve"> </w:t>
      </w:r>
      <w:r>
        <w:t xml:space="preserve">produces one: two</w:t>
      </w:r>
      <w:r>
        <w:t xml:space="preserve"> </w:t>
      </w:r>
      <w:r>
        <w:t xml:space="preserve">branches with comparable user counts and application mix; instrument</w:t>
      </w:r>
      <w:r>
        <w:t xml:space="preserve"> </w:t>
      </w:r>
      <w:r>
        <w:t xml:space="preserve">both for 30 days across WAN path events, application server CPU and</w:t>
      </w:r>
      <w:r>
        <w:t xml:space="preserve"> </w:t>
      </w:r>
      <w:r>
        <w:t xml:space="preserve">new-connection rate, identity provider authentication volume, database</w:t>
      </w:r>
      <w:r>
        <w:t xml:space="preserve"> </w:t>
      </w:r>
      <w:r>
        <w:t xml:space="preserve">cache hit ratio, and help desk tickets tagged by application; deploy at</w:t>
      </w:r>
      <w:r>
        <w:t xml:space="preserve"> </w:t>
      </w:r>
      <w:r>
        <w:t xml:space="preserve">one; instrument both for a further 30 days. The difference in the</w:t>
      </w:r>
      <w:r>
        <w:t xml:space="preserve"> </w:t>
      </w:r>
      <w:r>
        <w:t xml:space="preserve">post-period, adjusted for the pre-period difference, is the effect size.</w:t>
      </w:r>
    </w:p>
    <w:p>
      <w:pPr>
        <w:pStyle w:val="BodyText"/>
      </w:pPr>
      <w:r>
        <w:t xml:space="preserve">Four cost categories are worth measuring and in most estates all four</w:t>
      </w:r>
      <w:r>
        <w:t xml:space="preserve"> </w:t>
      </w:r>
      <w:r>
        <w:t xml:space="preserve">exceed the compute term: help desk volume by branch normalized by user</w:t>
      </w:r>
      <w:r>
        <w:t xml:space="preserve"> </w:t>
      </w:r>
      <w:r>
        <w:t xml:space="preserve">count; circuit capacity bought as headroom for unmanaged queuing;</w:t>
      </w:r>
      <w:r>
        <w:t xml:space="preserve"> </w:t>
      </w:r>
      <w:r>
        <w:t xml:space="preserve">analyst hours on alerts closed as benign network behaviour; and the risk</w:t>
      </w:r>
      <w:r>
        <w:t xml:space="preserve"> </w:t>
      </w:r>
      <w:r>
        <w:t xml:space="preserve">cost of control assertions that cannot be evidenced.</w:t>
      </w:r>
    </w:p>
    <w:p>
      <w:pPr>
        <w:pStyle w:val="BodyText"/>
      </w:pPr>
      <w:r>
        <w:rPr>
          <w:b/>
          <w:bCs/>
        </w:rPr>
        <w:t xml:space="preserve">Do not put a routing-attributable percentage into a TCO model on the</w:t>
      </w:r>
      <w:r>
        <w:rPr>
          <w:b/>
          <w:bCs/>
        </w:rPr>
        <w:t xml:space="preserve"> </w:t>
      </w:r>
      <w:r>
        <w:rPr>
          <w:b/>
          <w:bCs/>
        </w:rPr>
        <w:t xml:space="preserve">authority of any white paper, including this one.</w:t>
      </w:r>
      <w:r>
        <w:t xml:space="preserve"> </w:t>
      </w:r>
      <w:r>
        <w:t xml:space="preserve">Put in a measured</w:t>
      </w:r>
      <w:r>
        <w:t xml:space="preserve"> </w:t>
      </w:r>
      <w:r>
        <w:t xml:space="preserve">figure with its method attached, or a range with the assumption labelled</w:t>
      </w:r>
      <w:r>
        <w:t xml:space="preserve"> </w:t>
      </w:r>
      <w:r>
        <w:t xml:space="preserve">as an assumption.</w:t>
      </w:r>
    </w:p>
    <w:bookmarkEnd w:id="45"/>
    <w:bookmarkEnd w:id="46"/>
    <w:bookmarkStart w:id="47" w:name="recommendations"/>
    <w:p>
      <w:pPr>
        <w:pStyle w:val="Heading1"/>
      </w:pPr>
      <w:r>
        <w:t xml:space="preserve">9. Recommendations</w:t>
      </w:r>
    </w:p>
    <w:p>
      <w:pPr>
        <w:pStyle w:val="FirstParagraph"/>
      </w:pPr>
      <w:r>
        <w:rPr>
          <w:b/>
          <w:bCs/>
        </w:rPr>
        <w:t xml:space="preserve">1. Make the architectural case by elimination, not by mandate.</w:t>
      </w:r>
      <w:r>
        <w:t xml:space="preserve"> </w:t>
      </w:r>
      <w:r>
        <w:t xml:space="preserve">State</w:t>
      </w:r>
      <w:r>
        <w:t xml:space="preserve"> </w:t>
      </w:r>
      <w:r>
        <w:t xml:space="preserve">in programme documentation that no federal policy requires SD-WAN or</w:t>
      </w:r>
      <w:r>
        <w:t xml:space="preserve"> </w:t>
      </w:r>
      <w:r>
        <w:t xml:space="preserve">SASE, that TIC 3.0 is technology-neutral, that CISA’s June 2026 guidance</w:t>
      </w:r>
      <w:r>
        <w:t xml:space="preserve"> </w:t>
      </w:r>
      <w:r>
        <w:t xml:space="preserve">describes SASE as a permitted path rather than a required one, and that</w:t>
      </w:r>
      <w:r>
        <w:t xml:space="preserve"> </w:t>
      </w:r>
      <w:r>
        <w:t xml:space="preserve">the branch-edge architecture is the residual after the legacy vehicles</w:t>
      </w:r>
      <w:r>
        <w:t xml:space="preserve"> </w:t>
      </w:r>
      <w:r>
        <w:t xml:space="preserve">expired and the alternatives were assessed. That framing survives</w:t>
      </w:r>
      <w:r>
        <w:t xml:space="preserve"> </w:t>
      </w:r>
      <w:r>
        <w:t xml:space="preserve">scrutiny.</w:t>
      </w:r>
    </w:p>
    <w:p>
      <w:pPr>
        <w:pStyle w:val="BodyText"/>
      </w:pPr>
      <w:r>
        <w:rPr>
          <w:b/>
          <w:bCs/>
        </w:rPr>
        <w:t xml:space="preserve">2. But state the four obligations that do land on branch equipment</w:t>
      </w:r>
      <w:r>
        <w:t xml:space="preserve"> </w:t>
      </w:r>
      <w:r>
        <w:t xml:space="preserve">— Protective DNS egress routing, BOD 23-02 management interfaces, BOD</w:t>
      </w:r>
      <w:r>
        <w:t xml:space="preserve"> </w:t>
      </w:r>
      <w:r>
        <w:t xml:space="preserve">26-02 end-of-support devices, and M-26-15 PQC-capable key exchange.</w:t>
      </w:r>
      <w:r>
        <w:t xml:space="preserve"> </w:t>
      </w:r>
      <w:r>
        <w:t xml:space="preserve">“Technology-neutral, not requirement-free”</w:t>
      </w:r>
      <w:r>
        <w:t xml:space="preserve"> </w:t>
      </w:r>
      <w:r>
        <w:t xml:space="preserve">is the accurate formulation</w:t>
      </w:r>
      <w:r>
        <w:t xml:space="preserve"> </w:t>
      </w:r>
      <w:r>
        <w:t xml:space="preserve">and it is a stronger position than either half alone.</w:t>
      </w:r>
    </w:p>
    <w:p>
      <w:pPr>
        <w:pStyle w:val="BodyText"/>
      </w:pPr>
      <w:r>
        <w:rPr>
          <w:b/>
          <w:bCs/>
        </w:rPr>
        <w:t xml:space="preserve">3. Specify the target-architecture attributes into the BOD 26-02</w:t>
      </w:r>
      <w:r>
        <w:rPr>
          <w:b/>
          <w:bCs/>
        </w:rPr>
        <w:t xml:space="preserve"> </w:t>
      </w:r>
      <w:r>
        <w:rPr>
          <w:b/>
          <w:bCs/>
        </w:rPr>
        <w:t xml:space="preserve">refresh now.</w:t>
      </w:r>
      <w:r>
        <w:t xml:space="preserve"> </w:t>
      </w:r>
      <w:r>
        <w:t xml:space="preserve">Whoever is scoping end-of-support replacements should</w:t>
      </w:r>
      <w:r>
        <w:t xml:space="preserve"> </w:t>
      </w:r>
      <w:r>
        <w:t xml:space="preserve">have, in writing, what the eventual architecture requires of a branch</w:t>
      </w:r>
      <w:r>
        <w:t xml:space="preserve"> </w:t>
      </w:r>
      <w:r>
        <w:t xml:space="preserve">device. This is the highest-leverage action in the paper and it costs</w:t>
      </w:r>
      <w:r>
        <w:t xml:space="preserve"> </w:t>
      </w:r>
      <w:r>
        <w:t xml:space="preserve">requirements-writing time.</w:t>
      </w:r>
    </w:p>
    <w:p>
      <w:pPr>
        <w:pStyle w:val="BodyText"/>
      </w:pPr>
      <w:r>
        <w:rPr>
          <w:b/>
          <w:bCs/>
        </w:rPr>
        <w:t xml:space="preserve">4. Re-examine any ExpressRoute arrangement for Microsoft 365 approved</w:t>
      </w:r>
      <w:r>
        <w:rPr>
          <w:b/>
          <w:bCs/>
        </w:rPr>
        <w:t xml:space="preserve"> </w:t>
      </w:r>
      <w:r>
        <w:rPr>
          <w:b/>
          <w:bCs/>
        </w:rPr>
        <w:t xml:space="preserve">before 2019.</w:t>
      </w:r>
      <w:r>
        <w:t xml:space="preserve"> </w:t>
      </w:r>
      <w:r>
        <w:t xml:space="preserve">Microsoft no longer recommends it, its canonical network</w:t>
      </w:r>
      <w:r>
        <w:t xml:space="preserve"> </w:t>
      </w:r>
      <w:r>
        <w:t xml:space="preserve">guidance no longer mentions it, it cannot carry all Microsoft 365</w:t>
      </w:r>
      <w:r>
        <w:t xml:space="preserve"> </w:t>
      </w:r>
      <w:r>
        <w:t xml:space="preserve">traffic, pre-August-2017 circuits may still advertise Office 365</w:t>
      </w:r>
      <w:r>
        <w:t xml:space="preserve"> </w:t>
      </w:r>
      <w:r>
        <w:t xml:space="preserve">prefixes without a current authorization, and the GCC routing</w:t>
      </w:r>
      <w:r>
        <w:t xml:space="preserve"> </w:t>
      </w:r>
      <w:r>
        <w:t xml:space="preserve">arrangement is documented as working but not documented as to how.</w:t>
      </w:r>
      <w:r>
        <w:t xml:space="preserve"> </w:t>
      </w:r>
      <w:r>
        <w:t xml:space="preserve">Confirm the prefix arrangement with Microsoft in writing.</w:t>
      </w:r>
    </w:p>
    <w:p>
      <w:pPr>
        <w:pStyle w:val="BodyText"/>
      </w:pPr>
      <w:r>
        <w:rPr>
          <w:b/>
          <w:bCs/>
        </w:rPr>
        <w:t xml:space="preserve">5. Correct the encryption position in writing.</w:t>
      </w:r>
      <w:r>
        <w:t xml:space="preserve"> </w:t>
      </w:r>
      <w:r>
        <w:t xml:space="preserve">SC-8 and SC-8(1) are</w:t>
      </w:r>
      <w:r>
        <w:t xml:space="preserve"> </w:t>
      </w:r>
      <w:r>
        <w:t xml:space="preserve">mechanism-agnostic and satisfiable by end-to-end TLS; SC-8(3) and</w:t>
      </w:r>
      <w:r>
        <w:t xml:space="preserve"> </w:t>
      </w:r>
      <w:r>
        <w:t xml:space="preserve">SC-8(4) are unbaselined; no federal requirement compels an encrypted WAN</w:t>
      </w:r>
      <w:r>
        <w:t xml:space="preserve"> </w:t>
      </w:r>
      <w:r>
        <w:t xml:space="preserve">overlay where the payload is protected. Then state the residual risk an</w:t>
      </w:r>
      <w:r>
        <w:t xml:space="preserve"> </w:t>
      </w:r>
      <w:r>
        <w:t xml:space="preserve">overlay would address, so the eventual decision is a risk decision with</w:t>
      </w:r>
      <w:r>
        <w:t xml:space="preserve"> </w:t>
      </w:r>
      <w:r>
        <w:t xml:space="preserve">a named residual.</w:t>
      </w:r>
    </w:p>
    <w:p>
      <w:pPr>
        <w:pStyle w:val="BodyText"/>
      </w:pPr>
      <w:r>
        <w:rPr>
          <w:b/>
          <w:bCs/>
        </w:rPr>
        <w:t xml:space="preserve">6. Inventory cleartext protocols crossing branch WAN links</w:t>
      </w:r>
      <w:r>
        <w:t xml:space="preserve"> </w:t>
      </w:r>
      <w:r>
        <w:t xml:space="preserve">and treat</w:t>
      </w:r>
      <w:r>
        <w:t xml:space="preserve"> </w:t>
      </w:r>
      <w:r>
        <w:t xml:space="preserve">it as an SC-8 exposure register. Three dispositions per entry.</w:t>
      </w:r>
    </w:p>
    <w:p>
      <w:pPr>
        <w:pStyle w:val="BodyText"/>
      </w:pPr>
      <w:r>
        <w:rPr>
          <w:b/>
          <w:bCs/>
        </w:rPr>
        <w:t xml:space="preserve">7. Verify the DNS egress path end to end</w:t>
      </w:r>
      <w:r>
        <w:t xml:space="preserve">, including that no DDI</w:t>
      </w:r>
      <w:r>
        <w:t xml:space="preserve"> </w:t>
      </w:r>
      <w:r>
        <w:t xml:space="preserve">platform or endpoint agent holds an independent resolver path that</w:t>
      </w:r>
      <w:r>
        <w:t xml:space="preserve"> </w:t>
      </w:r>
      <w:r>
        <w:t xml:space="preserve">bypasses CISA’s Protective DNS. Test it; the failure mode is silent.</w:t>
      </w:r>
    </w:p>
    <w:p>
      <w:pPr>
        <w:pStyle w:val="BodyText"/>
      </w:pPr>
      <w:r>
        <w:rPr>
          <w:b/>
          <w:bCs/>
        </w:rPr>
        <w:t xml:space="preserve">8. Instrument a sample of branches before the next migration wave</w:t>
      </w:r>
      <w:r>
        <w:t xml:space="preserve">,</w:t>
      </w:r>
      <w:r>
        <w:t xml:space="preserve"> </w:t>
      </w:r>
      <w:r>
        <w:t xml:space="preserve">and run the three measurements in Section 8.4. The baseline cannot be</w:t>
      </w:r>
      <w:r>
        <w:t xml:space="preserve"> </w:t>
      </w:r>
      <w:r>
        <w:t xml:space="preserve">reconstructed afterward and it costs staff time rather than capital.</w:t>
      </w:r>
    </w:p>
    <w:p>
      <w:pPr>
        <w:pStyle w:val="BodyText"/>
      </w:pPr>
      <w:r>
        <w:rPr>
          <w:b/>
          <w:bCs/>
        </w:rPr>
        <w:t xml:space="preserve">9. Document the gap as an accepted risk</w:t>
      </w:r>
      <w:r>
        <w:t xml:space="preserve"> </w:t>
      </w:r>
      <w:r>
        <w:t xml:space="preserve">— which control assertions</w:t>
      </w:r>
      <w:r>
        <w:t xml:space="preserve"> </w:t>
      </w:r>
      <w:r>
        <w:t xml:space="preserve">depend on transport evidence that does not exist, the compensating</w:t>
      </w:r>
      <w:r>
        <w:t xml:space="preserve"> </w:t>
      </w:r>
      <w:r>
        <w:t xml:space="preserve">measures, and the funding dependency.</w:t>
      </w:r>
    </w:p>
    <w:p>
      <w:pPr>
        <w:pStyle w:val="BodyText"/>
      </w:pPr>
      <w:r>
        <w:rPr>
          <w:b/>
          <w:bCs/>
        </w:rPr>
        <w:t xml:space="preserve">10. Price the alternatives in the EIS pricer with your own circuits</w:t>
      </w:r>
      <w:r>
        <w:rPr>
          <w:b/>
          <w:bCs/>
        </w:rPr>
        <w:t xml:space="preserve"> </w:t>
      </w:r>
      <w:r>
        <w:rPr>
          <w:b/>
          <w:bCs/>
        </w:rPr>
        <w:t xml:space="preserve">and site counts</w:t>
      </w:r>
      <w:r>
        <w:t xml:space="preserve">, rather than from published multiples. Note that the</w:t>
      </w:r>
      <w:r>
        <w:t xml:space="preserve"> </w:t>
      </w:r>
      <w:r>
        <w:t xml:space="preserve">SASE per-user subscription term is the one most often omitted from</w:t>
      </w:r>
      <w:r>
        <w:t xml:space="preserve"> </w:t>
      </w:r>
      <w:r>
        <w:t xml:space="preserve">SD-WAN-versus-MPLS comparisons and may dominate the result.</w:t>
      </w:r>
    </w:p>
    <w:bookmarkEnd w:id="47"/>
    <w:bookmarkStart w:id="48" w:name="sources"/>
    <w:p>
      <w:pPr>
        <w:pStyle w:val="Heading1"/>
      </w:pPr>
      <w:r>
        <w:t xml:space="preserve">10. Sources</w:t>
      </w:r>
    </w:p>
    <w:p>
      <w:pPr>
        <w:pStyle w:val="FirstParagraph"/>
      </w:pPr>
      <w:r>
        <w:t xml:space="preserve">Figures are labelled by type. The latency decomposition in Section 7.3</w:t>
      </w:r>
      <w:r>
        <w:t xml:space="preserve"> </w:t>
      </w:r>
      <w:r>
        <w:t xml:space="preserve">is illustrative with all inputs stated. Section 8 distinguishes</w:t>
      </w:r>
      <w:r>
        <w:t xml:space="preserve"> </w:t>
      </w:r>
      <w:r>
        <w:t xml:space="preserve">documented components from the author’s own inference. Where something</w:t>
      </w:r>
      <w:r>
        <w:t xml:space="preserve"> </w:t>
      </w:r>
      <w:r>
        <w:t xml:space="preserve">could not be found, it is stated as not found rather than estimated.</w:t>
      </w:r>
    </w:p>
    <w:p>
      <w:pPr>
        <w:pStyle w:val="BodyText"/>
      </w:pPr>
      <w:r>
        <w:rPr>
          <w:b/>
          <w:bCs/>
        </w:rPr>
        <w:t xml:space="preserve">Policy, directives and statute.</w:t>
      </w:r>
      <w:r>
        <w:t xml:space="preserve"> </w:t>
      </w:r>
      <w:r>
        <w:t xml:space="preserve">OMB M-19-26 (12 September 2019),</w:t>
      </w:r>
      <w:r>
        <w:t xml:space="preserve"> </w:t>
      </w:r>
      <w:r>
        <w:t xml:space="preserve">rescinding M-08-05, M-08-16, M-08-27 and M-09-32 · OMB M-22-09 (26</w:t>
      </w:r>
      <w:r>
        <w:t xml:space="preserve"> </w:t>
      </w:r>
      <w:r>
        <w:t xml:space="preserve">January 2022) · OMB M-25-04 (January 2025), the current annual FISMA</w:t>
      </w:r>
      <w:r>
        <w:t xml:space="preserve"> </w:t>
      </w:r>
      <w:r>
        <w:t xml:space="preserve">guidance · OMB M-26-05 (23 January 2026) · OMB M-26-14 (22 May 2026),</w:t>
      </w:r>
      <w:r>
        <w:t xml:space="preserve"> </w:t>
      </w:r>
      <w:r>
        <w:t xml:space="preserve">rescinding M-21-31 · OMB M-26-15 (24 June 2026) · EO 14028 (12 May 2021)</w:t>
      </w:r>
      <w:r>
        <w:t xml:space="preserve"> </w:t>
      </w:r>
      <w:r>
        <w:t xml:space="preserve">Section 3(d), as amended by EO 14306 (6 June 2025) · EO 14412 (22 June</w:t>
      </w:r>
      <w:r>
        <w:t xml:space="preserve"> </w:t>
      </w:r>
      <w:r>
        <w:t xml:space="preserve">2026) · CISA BOD 18-01, BOD 23-01, BOD 23-02, BOD 26-02 (5 February</w:t>
      </w:r>
      <w:r>
        <w:t xml:space="preserve"> </w:t>
      </w:r>
      <w:r>
        <w:t xml:space="preserve">2026), BOD 26-04 (10 June 2026) · CISA</w:t>
      </w:r>
      <w:r>
        <w:t xml:space="preserve"> </w:t>
      </w:r>
      <w:r>
        <w:rPr>
          <w:i/>
          <w:iCs/>
        </w:rPr>
        <w:t xml:space="preserve">Encrypted DNS Implementation</w:t>
      </w:r>
      <w:r>
        <w:rPr>
          <w:i/>
          <w:iCs/>
        </w:rPr>
        <w:t xml:space="preserve"> </w:t>
      </w:r>
      <w:r>
        <w:rPr>
          <w:i/>
          <w:iCs/>
        </w:rPr>
        <w:t xml:space="preserve">Guidance</w:t>
      </w:r>
      <w:r>
        <w:t xml:space="preserve"> </w:t>
      </w:r>
      <w:r>
        <w:t xml:space="preserve">(May 2024) · 6 U.S.C. § 663 note · CISA Zero Trust Maturity</w:t>
      </w:r>
      <w:r>
        <w:t xml:space="preserve"> </w:t>
      </w:r>
      <w:r>
        <w:t xml:space="preserve">Model v2.0 (April 2023) · DoD Zero Trust Strategy (November 2022).</w:t>
      </w:r>
    </w:p>
    <w:p>
      <w:pPr>
        <w:pStyle w:val="BodyText"/>
      </w:pPr>
      <w:r>
        <w:rPr>
          <w:b/>
          <w:bCs/>
        </w:rPr>
        <w:t xml:space="preserve">TIC 3.0.</w:t>
      </w:r>
      <w:r>
        <w:t xml:space="preserve"> </w:t>
      </w:r>
      <w:r>
        <w:t xml:space="preserve">Program Guidebook (the passage quoted in Section 2.2</w:t>
      </w:r>
      <w:r>
        <w:t xml:space="preserve"> </w:t>
      </w:r>
      <w:r>
        <w:t xml:space="preserve">appears in both the December 2019 and July 2025 versions), Reference</w:t>
      </w:r>
      <w:r>
        <w:t xml:space="preserve"> </w:t>
      </w:r>
      <w:r>
        <w:t xml:space="preserve">Architecture, Security Capabilities Catalog, Use Case Handbook, Service</w:t>
      </w:r>
      <w:r>
        <w:t xml:space="preserve"> </w:t>
      </w:r>
      <w:r>
        <w:t xml:space="preserve">Provider Overlay Handbook; Traditional, Branch Office, Remote User and</w:t>
      </w:r>
      <w:r>
        <w:t xml:space="preserve"> </w:t>
      </w:r>
      <w:r>
        <w:t xml:space="preserve">Cloud use cases.</w:t>
      </w:r>
      <w:r>
        <w:t xml:space="preserve"> </w:t>
      </w:r>
      <w:r>
        <w:rPr>
          <w:b/>
          <w:bCs/>
        </w:rPr>
        <w:t xml:space="preserve">CISA,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Journey to Zero Trust: Using Secure Access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Service Edge in a Modern TIC 3.0 Solution</w:t>
      </w:r>
      <w:r>
        <w:rPr>
          <w:b/>
          <w:bCs/>
        </w:rPr>
        <w:t xml:space="preserve"> </w:t>
      </w:r>
      <w:r>
        <w:rPr>
          <w:b/>
          <w:bCs/>
        </w:rPr>
        <w:t xml:space="preserve">(June 2026)</w:t>
      </w:r>
      <w:r>
        <w:t xml:space="preserve"> </w:t>
      </w:r>
      <w:r>
        <w:t xml:space="preserve">— existence</w:t>
      </w:r>
      <w:r>
        <w:t xml:space="preserve"> </w:t>
      </w:r>
      <w:r>
        <w:t xml:space="preserve">and guidance status confirmed from CISA’s announcement; its text should</w:t>
      </w:r>
      <w:r>
        <w:t xml:space="preserve"> </w:t>
      </w:r>
      <w:r>
        <w:t xml:space="preserve">be obtained and read directly. TIC document versions move independently</w:t>
      </w:r>
      <w:r>
        <w:t xml:space="preserve"> </w:t>
      </w:r>
      <w:r>
        <w:t xml:space="preserve">and the indexing pages are not always current: take versions from cover</w:t>
      </w:r>
      <w:r>
        <w:t xml:space="preserve"> </w:t>
      </w:r>
      <w:r>
        <w:t xml:space="preserve">pages. Note also: M-19-26 contains no latency or backhaul language and</w:t>
      </w:r>
      <w:r>
        <w:t xml:space="preserve"> </w:t>
      </w:r>
      <w:r>
        <w:t xml:space="preserve">should not be cited for one.</w:t>
      </w:r>
    </w:p>
    <w:p>
      <w:pPr>
        <w:pStyle w:val="BodyText"/>
      </w:pPr>
      <w:r>
        <w:rPr>
          <w:b/>
          <w:bCs/>
        </w:rPr>
        <w:t xml:space="preserve">Standards.</w:t>
      </w:r>
      <w:r>
        <w:t xml:space="preserve"> </w:t>
      </w:r>
      <w:r>
        <w:t xml:space="preserve">NIST SP 800-53 Rev 5 (Release 5.2.0, 27 August 2025) —</w:t>
      </w:r>
      <w:r>
        <w:t xml:space="preserve"> </w:t>
      </w:r>
      <w:r>
        <w:t xml:space="preserve">SC-7, SC-7(4), SC-7(8), SC-8, SC-8(1)–(5), SC-13, CM-7(1), AC-4 · SP</w:t>
      </w:r>
      <w:r>
        <w:t xml:space="preserve"> </w:t>
      </w:r>
      <w:r>
        <w:t xml:space="preserve">800-53B for baseline allocation · SP 800-53A Rev 5 for the SC-8(1)</w:t>
      </w:r>
      <w:r>
        <w:t xml:space="preserve"> </w:t>
      </w:r>
      <w:r>
        <w:t xml:space="preserve">assessment objective · SP 800-52 Rev 2 (August 2019) · SP 800-207</w:t>
      </w:r>
      <w:r>
        <w:t xml:space="preserve"> </w:t>
      </w:r>
      <w:r>
        <w:t xml:space="preserve">(August 2020) and SP 1800-35 (final 10 June 2025) · RFC 4120 · CMVP FIPS</w:t>
      </w:r>
      <w:r>
        <w:t xml:space="preserve"> </w:t>
      </w:r>
      <w:r>
        <w:t xml:space="preserve">140-2 historical-list transition, 22 September 2026.</w:t>
      </w:r>
    </w:p>
    <w:p>
      <w:pPr>
        <w:pStyle w:val="BodyText"/>
      </w:pPr>
      <w:r>
        <w:rPr>
          <w:b/>
          <w:bCs/>
        </w:rPr>
        <w:t xml:space="preserve">Microsoft.</w:t>
      </w:r>
      <w:r>
        <w:t xml:space="preserve"> </w:t>
      </w:r>
      <w:r>
        <w:rPr>
          <w:i/>
          <w:iCs/>
        </w:rPr>
        <w:t xml:space="preserve">Azure ExpressRoute for Microsoft 365</w:t>
      </w:r>
      <w:r>
        <w:t xml:space="preserve">;</w:t>
      </w:r>
      <w:r>
        <w:t xml:space="preserve"> </w:t>
      </w:r>
      <w:r>
        <w:rPr>
          <w:i/>
          <w:iCs/>
        </w:rPr>
        <w:t xml:space="preserve">Using</w:t>
      </w:r>
      <w:r>
        <w:rPr>
          <w:i/>
          <w:iCs/>
        </w:rPr>
        <w:t xml:space="preserve"> </w:t>
      </w:r>
      <w:r>
        <w:rPr>
          <w:i/>
          <w:iCs/>
        </w:rPr>
        <w:t xml:space="preserve">ExpressRoute for routing Microsoft 365 traffic</w:t>
      </w:r>
      <w:r>
        <w:t xml:space="preserve">;</w:t>
      </w:r>
      <w:r>
        <w:t xml:space="preserve"> </w:t>
      </w:r>
      <w:r>
        <w:rPr>
          <w:i/>
          <w:iCs/>
        </w:rPr>
        <w:t xml:space="preserve">Implementing</w:t>
      </w:r>
      <w:r>
        <w:rPr>
          <w:i/>
          <w:iCs/>
        </w:rPr>
        <w:t xml:space="preserve"> </w:t>
      </w:r>
      <w:r>
        <w:rPr>
          <w:i/>
          <w:iCs/>
        </w:rPr>
        <w:t xml:space="preserve">ExpressRoute for Microsoft 365</w:t>
      </w:r>
      <w:r>
        <w:t xml:space="preserve">;</w:t>
      </w:r>
      <w:r>
        <w:t xml:space="preserve"> </w:t>
      </w:r>
      <w:r>
        <w:rPr>
          <w:i/>
          <w:iCs/>
        </w:rPr>
        <w:t xml:space="preserve">Microsoft 365 network connectivity</w:t>
      </w:r>
      <w:r>
        <w:rPr>
          <w:i/>
          <w:iCs/>
        </w:rPr>
        <w:t xml:space="preserve"> </w:t>
      </w:r>
      <w:r>
        <w:rPr>
          <w:i/>
          <w:iCs/>
        </w:rPr>
        <w:t xml:space="preserve">principles</w:t>
      </w:r>
      <w:r>
        <w:t xml:space="preserve"> </w:t>
      </w:r>
      <w:r>
        <w:t xml:space="preserve">(August 2026);</w:t>
      </w:r>
      <w:r>
        <w:t xml:space="preserve"> </w:t>
      </w:r>
      <w:r>
        <w:rPr>
          <w:i/>
          <w:iCs/>
        </w:rPr>
        <w:t xml:space="preserve">Microsoft 365 URLs and IP address ranges</w:t>
      </w:r>
      <w:r>
        <w:t xml:space="preserve">;</w:t>
      </w:r>
      <w:r>
        <w:t xml:space="preserve"> </w:t>
      </w:r>
      <w:r>
        <w:rPr>
          <w:i/>
          <w:iCs/>
        </w:rPr>
        <w:t xml:space="preserve">Microsoft 365 endpoints</w:t>
      </w:r>
      <w:r>
        <w:t xml:space="preserve">; GCC High and DoD endpoint articles;</w:t>
      </w:r>
      <w:r>
        <w:t xml:space="preserve"> </w:t>
      </w:r>
      <w:r>
        <w:rPr>
          <w:i/>
          <w:iCs/>
        </w:rPr>
        <w:t xml:space="preserve">Microsoft 365 IP Address and URL web service</w:t>
      </w:r>
      <w:r>
        <w:t xml:space="preserve">;</w:t>
      </w:r>
      <w:r>
        <w:t xml:space="preserve"> </w:t>
      </w:r>
      <w:r>
        <w:rPr>
          <w:i/>
          <w:iCs/>
        </w:rPr>
        <w:t xml:space="preserve">Managing Microsoft 365</w:t>
      </w:r>
      <w:r>
        <w:rPr>
          <w:i/>
          <w:iCs/>
        </w:rPr>
        <w:t xml:space="preserve"> </w:t>
      </w:r>
      <w:r>
        <w:rPr>
          <w:i/>
          <w:iCs/>
        </w:rPr>
        <w:t xml:space="preserve">endpoints</w:t>
      </w:r>
      <w:r>
        <w:t xml:space="preserve">; ExpressRoute FAQ, prerequisites, routing requirements and</w:t>
      </w:r>
      <w:r>
        <w:t xml:space="preserve"> </w:t>
      </w:r>
      <w:r>
        <w:t xml:space="preserve">route-filter configuration;</w:t>
      </w:r>
      <w:r>
        <w:t xml:space="preserve"> </w:t>
      </w:r>
      <w:r>
        <w:rPr>
          <w:i/>
          <w:iCs/>
        </w:rPr>
        <w:t xml:space="preserve">Cloud feature availability for US</w:t>
      </w:r>
      <w:r>
        <w:rPr>
          <w:i/>
          <w:iCs/>
        </w:rPr>
        <w:t xml:space="preserve"> </w:t>
      </w:r>
      <w:r>
        <w:rPr>
          <w:i/>
          <w:iCs/>
        </w:rPr>
        <w:t xml:space="preserve">Government customers</w:t>
      </w:r>
      <w:r>
        <w:t xml:space="preserve">; Office 365 GCC and Office 365 US Government</w:t>
      </w:r>
      <w:r>
        <w:t xml:space="preserve"> </w:t>
      </w:r>
      <w:r>
        <w:t xml:space="preserve">service descriptions. Kerberos KDC registry configuration keys and</w:t>
      </w:r>
      <w:r>
        <w:t xml:space="preserve"> </w:t>
      </w:r>
      <w:r>
        <w:t xml:space="preserve">Active Directory ticket-lifetime defaults; Microsoft Entra hybrid join</w:t>
      </w:r>
      <w:r>
        <w:t xml:space="preserve"> </w:t>
      </w:r>
      <w:r>
        <w:t xml:space="preserve">line-of-sight requirement.</w:t>
      </w:r>
      <w:r>
        <w:t xml:space="preserve"> </w:t>
      </w:r>
      <w:r>
        <w:rPr>
          <w:i/>
          <w:iCs/>
        </w:rPr>
        <w:t xml:space="preserve">Note: the Microsoft 365 ExpressRoute</w:t>
      </w:r>
      <w:r>
        <w:rPr>
          <w:i/>
          <w:iCs/>
        </w:rPr>
        <w:t xml:space="preserve"> </w:t>
      </w:r>
      <w:r>
        <w:rPr>
          <w:i/>
          <w:iCs/>
        </w:rPr>
        <w:t xml:space="preserve">article’s displayed date and its authored metadata date disagree; cite</w:t>
      </w:r>
      <w:r>
        <w:rPr>
          <w:i/>
          <w:iCs/>
        </w:rPr>
        <w:t xml:space="preserve"> </w:t>
      </w:r>
      <w:r>
        <w:rPr>
          <w:i/>
          <w:iCs/>
        </w:rPr>
        <w:t xml:space="preserve">it as retrieved September 2026.</w:t>
      </w:r>
    </w:p>
    <w:p>
      <w:pPr>
        <w:pStyle w:val="BodyText"/>
      </w:pPr>
      <w:r>
        <w:rPr>
          <w:b/>
          <w:bCs/>
        </w:rPr>
        <w:t xml:space="preserve">Contract, programme and pricing.</w:t>
      </w:r>
      <w:r>
        <w:t xml:space="preserve"> </w:t>
      </w:r>
      <w:r>
        <w:t xml:space="preserve">GSA EIS Public Pricer (interactive;</w:t>
      </w:r>
      <w:r>
        <w:t xml:space="preserve"> </w:t>
      </w:r>
      <w:r>
        <w:t xml:space="preserve">no bulk export or published API) · GSA MTIPS features and price</w:t>
      </w:r>
      <w:r>
        <w:t xml:space="preserve"> </w:t>
      </w:r>
      <w:r>
        <w:t xml:space="preserve">structure (ICB pricing, excluded from the pricer) · GSA EIS contract</w:t>
      </w:r>
      <w:r>
        <w:t xml:space="preserve"> </w:t>
      </w:r>
      <w:r>
        <w:t xml:space="preserve">basics · GAO-14-63 (December 2013) · GAO-20-155 (April 2020) ·</w:t>
      </w:r>
      <w:r>
        <w:t xml:space="preserve"> </w:t>
      </w:r>
      <w:r>
        <w:t xml:space="preserve">GAO-25-107795 (July 2025) · CRS IF11668 (October 2020) · GSA EIS case</w:t>
      </w:r>
      <w:r>
        <w:t xml:space="preserve"> </w:t>
      </w:r>
      <w:r>
        <w:t xml:space="preserve">study (June 2020) · Zscaler GSA schedule price lists (per-user annual</w:t>
      </w:r>
      <w:r>
        <w:t xml:space="preserve"> </w:t>
      </w:r>
      <w:r>
        <w:t xml:space="preserve">pricing; two published lists differ — cite the specific file) ·</w:t>
      </w:r>
      <w:r>
        <w:t xml:space="preserve"> </w:t>
      </w:r>
      <w:r>
        <w:t xml:space="preserve">FedRAMP Consolidated Rules for 2026 and Notice 0013 (16 June 2026) ·</w:t>
      </w:r>
      <w:r>
        <w:t xml:space="preserve"> </w:t>
      </w:r>
      <w:r>
        <w:t xml:space="preserve">FedRAMP</w:t>
      </w:r>
      <w:r>
        <w:t xml:space="preserve"> </w:t>
      </w:r>
      <w:r>
        <w:rPr>
          <w:i/>
          <w:iCs/>
        </w:rPr>
        <w:t xml:space="preserve">Policy for Cryptographic Module Selection and Use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Cost and attribution evidence.</w:t>
      </w:r>
      <w:r>
        <w:t xml:space="preserve"> </w:t>
      </w:r>
      <w:r>
        <w:t xml:space="preserve">GAO-19-58 (April 2019) ·</w:t>
      </w:r>
      <w:r>
        <w:t xml:space="preserve"> </w:t>
      </w:r>
      <w:r>
        <w:t xml:space="preserve">GAO-22-106195 (September 2022) · GAO-26-107530 (June 2026) · GAO</w:t>
      </w:r>
      <w:r>
        <w:t xml:space="preserve"> </w:t>
      </w:r>
      <w:r>
        <w:t xml:space="preserve">OIG-25-1 (February 2025) · GAO-25-107114 (November 2024) · Popescu,</w:t>
      </w:r>
      <w:r>
        <w:t xml:space="preserve"> </w:t>
      </w:r>
      <w:r>
        <w:t xml:space="preserve">Zilberman &amp; Moore,</w:t>
      </w:r>
      <w:r>
        <w:t xml:space="preserve"> </w:t>
      </w:r>
      <w:r>
        <w:rPr>
          <w:i/>
          <w:iCs/>
        </w:rPr>
        <w:t xml:space="preserve">Characterizing the impact of network latency on</w:t>
      </w:r>
      <w:r>
        <w:rPr>
          <w:i/>
          <w:iCs/>
        </w:rPr>
        <w:t xml:space="preserve"> </w:t>
      </w:r>
      <w:r>
        <w:rPr>
          <w:i/>
          <w:iCs/>
        </w:rPr>
        <w:t xml:space="preserve">cloud-based applications’ performance</w:t>
      </w:r>
      <w:r>
        <w:t xml:space="preserve">, University of Cambridge Computer</w:t>
      </w:r>
      <w:r>
        <w:t xml:space="preserve"> </w:t>
      </w:r>
      <w:r>
        <w:t xml:space="preserve">Laboratory Technical Report UCAM-CL-TR-914 · Flexera</w:t>
      </w:r>
      <w:r>
        <w:t xml:space="preserve"> </w:t>
      </w:r>
      <w:r>
        <w:rPr>
          <w:i/>
          <w:iCs/>
        </w:rPr>
        <w:t xml:space="preserve">State of the</w:t>
      </w:r>
      <w:r>
        <w:rPr>
          <w:i/>
          <w:iCs/>
        </w:rPr>
        <w:t xml:space="preserve"> </w:t>
      </w:r>
      <w:r>
        <w:rPr>
          <w:i/>
          <w:iCs/>
        </w:rPr>
        <w:t xml:space="preserve">Cloud</w:t>
      </w:r>
      <w:r>
        <w:t xml:space="preserve"> </w:t>
      </w:r>
      <w:r>
        <w:t xml:space="preserve">2026 (750+ respondents; vendor with commercial interest in</w:t>
      </w:r>
      <w:r>
        <w:t xml:space="preserve"> </w:t>
      </w:r>
      <w:r>
        <w:t xml:space="preserve">cost-management findings) · Uptime Institute Data Center Capacity Trends</w:t>
      </w:r>
      <w:r>
        <w:t xml:space="preserve"> </w:t>
      </w:r>
      <w:r>
        <w:t xml:space="preserve">Survey analysis on repatriation · UK Competition and Markets Authority</w:t>
      </w:r>
      <w:r>
        <w:t xml:space="preserve"> </w:t>
      </w:r>
      <w:r>
        <w:t xml:space="preserve">cloud services egress fees working paper (23 May 2024) · TeleGeography</w:t>
      </w:r>
      <w:r>
        <w:t xml:space="preserve"> </w:t>
      </w:r>
      <w:r>
        <w:t xml:space="preserve">WAN pricing research (independent research firm; free publications give</w:t>
      </w:r>
      <w:r>
        <w:t xml:space="preserve"> </w:t>
      </w:r>
      <w:r>
        <w:t xml:space="preserve">percentages, not absolute prices) · Andreessen Horowitz,</w:t>
      </w:r>
      <w:r>
        <w:t xml:space="preserve"> </w:t>
      </w:r>
      <w:r>
        <w:rPr>
          <w:i/>
          <w:iCs/>
        </w:rPr>
        <w:t xml:space="preserve">The Cost of</w:t>
      </w:r>
      <w:r>
        <w:rPr>
          <w:i/>
          <w:iCs/>
        </w:rPr>
        <w:t xml:space="preserve"> </w:t>
      </w:r>
      <w:r>
        <w:rPr>
          <w:i/>
          <w:iCs/>
        </w:rPr>
        <w:t xml:space="preserve">Cloud, a Trillion Dollar Paradox</w:t>
      </w:r>
      <w:r>
        <w:t xml:space="preserve"> </w:t>
      </w:r>
      <w:r>
        <w:t xml:space="preserve">(2021) and Quinn’s rebuttal — both</w:t>
      </w:r>
      <w:r>
        <w:t xml:space="preserve"> </w:t>
      </w:r>
      <w:r>
        <w:t xml:space="preserve">parties hold commercial interests on opposite sides and are cited</w:t>
      </w:r>
      <w:r>
        <w:t xml:space="preserve"> </w:t>
      </w:r>
      <w:r>
        <w:t xml:space="preserve">against each other.</w:t>
      </w:r>
    </w:p>
    <w:p>
      <w:pPr>
        <w:pStyle w:val="BodyText"/>
      </w:pPr>
      <w:r>
        <w:rPr>
          <w:b/>
          <w:bCs/>
        </w:rPr>
        <w:t xml:space="preserve">Stated as not found.</w:t>
      </w:r>
      <w:r>
        <w:t xml:space="preserve"> </w:t>
      </w:r>
      <w:r>
        <w:t xml:space="preserve">No downloadable GSA EIS price list; no public</w:t>
      </w:r>
      <w:r>
        <w:t xml:space="preserve"> </w:t>
      </w:r>
      <w:r>
        <w:t xml:space="preserve">MTIPS price; no GAO quantification of realized EIS savings; no federal</w:t>
      </w:r>
      <w:r>
        <w:t xml:space="preserve"> </w:t>
      </w:r>
      <w:r>
        <w:t xml:space="preserve">agency’s published before-and-after SD-WAN cost figures; no public GSA</w:t>
      </w:r>
      <w:r>
        <w:t xml:space="preserve"> </w:t>
      </w:r>
      <w:r>
        <w:t xml:space="preserve">pricing for Prisma Access, Netskope, Cisco/Meraki, Fortinet or</w:t>
      </w:r>
      <w:r>
        <w:t xml:space="preserve"> </w:t>
      </w:r>
      <w:r>
        <w:t xml:space="preserve">VeloCloud; no free absolute cost-per-Mbps figure for MPLS versus DIA</w:t>
      </w:r>
      <w:r>
        <w:t xml:space="preserve"> </w:t>
      </w:r>
      <w:r>
        <w:t xml:space="preserve">from a non-commercial source; no published federal TICAP operating cost;</w:t>
      </w:r>
      <w:r>
        <w:t xml:space="preserve"> </w:t>
      </w:r>
      <w:r>
        <w:t xml:space="preserve">no federal figure isolating legacy WAN or MPLS operating cost; no</w:t>
      </w:r>
      <w:r>
        <w:t xml:space="preserve"> </w:t>
      </w:r>
      <w:r>
        <w:t xml:space="preserve">federal cloud repatriation documentation; no documented case study,</w:t>
      </w:r>
      <w:r>
        <w:t xml:space="preserve"> </w:t>
      </w:r>
      <w:r>
        <w:t xml:space="preserve">federal or commercial, in which WAN transport was identified as the root</w:t>
      </w:r>
      <w:r>
        <w:t xml:space="preserve"> </w:t>
      </w:r>
      <w:r>
        <w:t xml:space="preserve">cause of a believed cloud cost or performance problem.</w:t>
      </w:r>
    </w:p>
    <w:p>
      <w:pPr>
        <w:pStyle w:val="BodyText"/>
      </w:pPr>
      <w:r>
        <w:rPr>
          <w:b/>
          <w:bCs/>
        </w:rPr>
        <w:t xml:space="preserve">A note on citation practice.</w:t>
      </w:r>
      <w:r>
        <w:t xml:space="preserve"> </w:t>
      </w:r>
      <w:r>
        <w:t xml:space="preserve">TIC document versions, FedRAMP</w:t>
      </w:r>
      <w:r>
        <w:t xml:space="preserve"> </w:t>
      </w:r>
      <w:r>
        <w:t xml:space="preserve">marketplace listings, vendor authorization levels and Microsoft endpoint</w:t>
      </w:r>
      <w:r>
        <w:t xml:space="preserve"> </w:t>
      </w:r>
      <w:r>
        <w:t xml:space="preserve">data all move faster than the documents citing them. Anything that</w:t>
      </w:r>
      <w:r>
        <w:t xml:space="preserve"> </w:t>
      </w:r>
      <w:r>
        <w:t xml:space="preserve">becomes load-bearing in an authorization package or acquisition document</w:t>
      </w:r>
      <w:r>
        <w:t xml:space="preserve"> </w:t>
      </w:r>
      <w:r>
        <w:t xml:space="preserve">should be read from the primary source at the time of writing, with the</w:t>
      </w:r>
      <w:r>
        <w:t xml:space="preserve"> </w:t>
      </w:r>
      <w:r>
        <w:t xml:space="preserve">retrieval date recorded alongside it.</w:t>
      </w:r>
    </w:p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2026-10-19T10:11:57Z</dcterms:created>
  <dcterms:modified xsi:type="dcterms:W3CDTF">2026-10-19T10:11:57Z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