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sd-wan-vs.-dia-under-tic-3.0"/>
    <w:p>
      <w:pPr>
        <w:pStyle w:val="Heading1"/>
      </w:pPr>
      <w:r>
        <w:t xml:space="preserve">SD-WAN vs. DIA Under TIC 3.0</w:t>
      </w:r>
    </w:p>
    <w:p>
      <w:pPr>
        <w:pStyle w:val="FirstParagraph"/>
      </w:pPr>
      <w:r>
        <w:rPr>
          <w:b/>
          <w:bCs/>
        </w:rPr>
        <w:t xml:space="preserve">Transport is a physics decision; control is a compliance decision</w:t>
      </w:r>
    </w:p>
    <w:bookmarkStart w:id="9" w:name="problem-solution-ask"/>
    <w:p>
      <w:pPr>
        <w:pStyle w:val="Heading2"/>
      </w:pPr>
      <w:r>
        <w:t xml:space="preserve">Problem, solution, ask</w:t>
      </w:r>
    </w:p>
    <w:p>
      <w:pPr>
        <w:pStyle w:val="FirstParagraph"/>
      </w:pPr>
      <w:r>
        <w:rPr>
          <w:b/>
          <w:bCs/>
        </w:rPr>
        <w:t xml:space="preserve">Problem.</w:t>
      </w:r>
      <w:r>
        <w:t xml:space="preserve"> </w:t>
      </w:r>
      <w:r>
        <w:t xml:space="preserve">Federal network programs keep framing “SD-WAN vs. DIA” as a choice. Direct Internet Access is a pipe that solves the geographic hairpin; SD-WAN is the control surface that governs pipes. Treated as alternatives, agencies end up with a governed network too slow for voice or a fast network that is a compliance finding — and a bare DIA branch egress sits outside any assessed boundary.</w:t>
      </w:r>
    </w:p>
    <w:p>
      <w:pPr>
        <w:pStyle w:val="BodyText"/>
      </w:pPr>
      <w:r>
        <w:rPr>
          <w:b/>
          <w:bCs/>
        </w:rPr>
        <w:t xml:space="preserve">Solution.</w:t>
      </w:r>
      <w:r>
        <w:t xml:space="preserve"> </w:t>
      </w:r>
      <w:r>
        <w:t xml:space="preserve">Transport is a physics decision (fiber, MPLS, LEO satellite, and 5G differ enormously in physics and close exactly one control family: telecommunications diversity). Control is a compliance decision (the SD-WAN/SASE governor closes the protection controls). TIC 3.0 is why you cannot stop at the pipe — and the governor is itself attack surface.</w:t>
      </w:r>
    </w:p>
    <w:p>
      <w:pPr>
        <w:pStyle w:val="BodyText"/>
      </w:pPr>
      <w:r>
        <w:rPr>
          <w:b/>
          <w:bCs/>
        </w:rPr>
        <w:t xml:space="preserve">Ask.</w:t>
      </w:r>
      <w:r>
        <w:t xml:space="preserve"> </w:t>
      </w:r>
      <w:r>
        <w:t xml:space="preserve">Before the next transport or SD-WAN procurement: run the decision sequence against the current portfolio, file the authorization-boundary update before cutover rather than after, and name an owner for each step.</w:t>
      </w:r>
    </w:p>
    <w:bookmarkEnd w:id="9"/>
    <w:bookmarkStart w:id="10" w:name="the-false-versus"/>
    <w:p>
      <w:pPr>
        <w:pStyle w:val="Heading2"/>
      </w:pPr>
      <w:r>
        <w:t xml:space="preserve">The false versus</w:t>
      </w:r>
    </w:p>
    <w:p>
      <w:pPr>
        <w:pStyle w:val="FirstParagraph"/>
      </w:pPr>
      <w:r>
        <w:t xml:space="preserve">DIA is a pipe. SD-WAN is the control surface that governs pipes. DIA solves exactly one problem — the geographic hairpin — and satisfies none of the confidentiality, integrity, flow-enforcement, boundary, malware, or monitoring controls claimed near it. Deployed bare, it leaves the branch egress outside any assessed boundary.</w:t>
      </w:r>
    </w:p>
    <w:bookmarkEnd w:id="10"/>
    <w:bookmarkStart w:id="11" w:name="the-physics"/>
    <w:p>
      <w:pPr>
        <w:pStyle w:val="Heading2"/>
      </w:pPr>
      <w:r>
        <w:t xml:space="preserve">The physics</w:t>
      </w:r>
    </w:p>
    <w:p>
      <w:pPr>
        <w:pStyle w:val="FirstParagraph"/>
      </w:pPr>
      <w:r>
        <w:t xml:space="preserve">Light in fiber travels at roughly 200,000 km/s. ITU-T G.114 budgets 150 ms one-way for acceptable conversational quality. A field office hairpinning through a distant data center spends 100–130 ms one-way on the detour. Local breakout deletes the propagation and routing-inflation terms and moves inspection to where the latency budget can afford it. No security product shortens a fiber path.</w:t>
      </w:r>
    </w:p>
    <w:p>
      <w:pPr>
        <w:pStyle w:val="BodyText"/>
      </w:pPr>
      <w:r>
        <w:t xml:space="preserve">Every transport — fiber DIA, MPLS, LEO satellite, 5G — is a pipe. They differ enormously in physics and not at all in their contribution to the protection controls, which is zero for all of them. What transport selection does close is telecommunications-services diversity.</w:t>
      </w:r>
    </w:p>
    <w:bookmarkEnd w:id="11"/>
    <w:bookmarkStart w:id="12" w:name="tic-3.0-as-the-policy-gate"/>
    <w:p>
      <w:pPr>
        <w:pStyle w:val="Heading2"/>
      </w:pPr>
      <w:r>
        <w:t xml:space="preserve">TIC 3.0 as the policy gate</w:t>
      </w:r>
    </w:p>
    <w:p>
      <w:pPr>
        <w:pStyle w:val="FirstParagraph"/>
      </w:pPr>
      <w:r>
        <w:t xml:space="preserve">TIC 3.0 replaced mandatory consolidation with a use-case model: branch traffic may egress locally only when the security-capabilities catalog is satisfied at a distributed policy enforcement point — and only while the agency’s telemetry obligations are met. The policy enforcement point also has a location, and the physics argument applies to it.</w:t>
      </w:r>
    </w:p>
    <w:bookmarkEnd w:id="12"/>
    <w:bookmarkStart w:id="13" w:name="sd-wan-as-the-transport-governor"/>
    <w:p>
      <w:pPr>
        <w:pStyle w:val="Heading2"/>
      </w:pPr>
      <w:r>
        <w:t xml:space="preserve">SD-WAN as the transport governor</w:t>
      </w:r>
    </w:p>
    <w:p>
      <w:pPr>
        <w:pStyle w:val="FirstParagraph"/>
      </w:pPr>
      <w:r>
        <w:t xml:space="preserve">SD-WAN contributes circuit-wide encryption, traffic-class separation, and application-layer path telemetry, plus active-active multipath. The boundary, flow, and malware closures come from the SASE stack above it. SD-WAN alone does not satisfy the TIC 3.0 Branch Office use case.</w:t>
      </w:r>
    </w:p>
    <w:bookmarkEnd w:id="13"/>
    <w:bookmarkStart w:id="14" w:name="the-governor-is-itself-attack-surface"/>
    <w:p>
      <w:pPr>
        <w:pStyle w:val="Heading2"/>
      </w:pPr>
      <w:r>
        <w:t xml:space="preserve">The governor is itself attack surface</w:t>
      </w:r>
    </w:p>
    <w:p>
      <w:pPr>
        <w:pStyle w:val="FirstParagraph"/>
      </w:pPr>
      <w:r>
        <w:t xml:space="preserve">A controller with agency-wide routing and policy authority, and a fleet of internet-facing edges replacing two hardened egress points, are consequential new exposures. Edge-management-plane products are among the most actively exploited categories in federal networks. A paper that credits the governor with closures owes the reader the controls that protect the governor.</w:t>
      </w:r>
    </w:p>
    <w:bookmarkEnd w:id="14"/>
    <w:bookmarkStart w:id="15" w:name="decision-sequence"/>
    <w:p>
      <w:pPr>
        <w:pStyle w:val="Heading2"/>
      </w:pPr>
      <w:r>
        <w:t xml:space="preserve">Decision sequence</w:t>
      </w:r>
    </w:p>
    <w:p>
      <w:pPr>
        <w:pStyle w:val="Compact"/>
        <w:numPr>
          <w:ilvl w:val="0"/>
          <w:numId w:val="1001"/>
        </w:numPr>
      </w:pPr>
      <w:r>
        <w:t xml:space="preserve">Buy the pipe on measured physics within the acquisition and supply-chain envelope.</w:t>
      </w:r>
    </w:p>
    <w:p>
      <w:pPr>
        <w:pStyle w:val="Compact"/>
        <w:numPr>
          <w:ilvl w:val="0"/>
          <w:numId w:val="1001"/>
        </w:numPr>
      </w:pPr>
      <w:r>
        <w:t xml:space="preserve">Deploy the governor before production traffic.</w:t>
      </w:r>
    </w:p>
    <w:p>
      <w:pPr>
        <w:pStyle w:val="Compact"/>
        <w:numPr>
          <w:ilvl w:val="0"/>
          <w:numId w:val="1001"/>
        </w:numPr>
      </w:pPr>
      <w:r>
        <w:t xml:space="preserve">Treat the boundary change as the significant change it is.</w:t>
      </w:r>
    </w:p>
    <w:p>
      <w:pPr>
        <w:pStyle w:val="Compact"/>
        <w:numPr>
          <w:ilvl w:val="0"/>
          <w:numId w:val="1001"/>
        </w:numPr>
      </w:pPr>
      <w:r>
        <w:t xml:space="preserve">Handle Microsoft 365 traffic through its own documented exception rather than an ad hoc workaround.</w:t>
      </w:r>
    </w:p>
    <w:p>
      <w:pPr>
        <w:pStyle w:val="Compact"/>
        <w:numPr>
          <w:ilvl w:val="0"/>
          <w:numId w:val="1001"/>
        </w:numPr>
      </w:pPr>
      <w:r>
        <w:t xml:space="preserve">Register the supporting technical evidence.</w:t>
      </w:r>
    </w:p>
    <w:p>
      <w:pPr>
        <w:pStyle w:val="FirstParagraph"/>
      </w:pPr>
      <w:r>
        <w:t xml:space="preserve">Doing these out of order — especially lighting up fast connections before the security layer is live — is the single most common and most costly mistake.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2026-10-19T10:11:58Z</dcterms:created>
  <dcterms:modified xsi:type="dcterms:W3CDTF">2026-10-19T10:11:58Z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